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spacing w:after="80" w:line="252" w:lineRule="auto"/>
        <w:ind w:left="0" w:right="0" w:firstLine="0"/>
        <w:jc w:val="center"/>
        <w:rPr>
          <w:rFonts w:ascii="Arial" w:cs="Arial" w:hAnsi="Arial" w:eastAsia="Arial"/>
          <w:sz w:val="18"/>
          <w:szCs w:val="18"/>
          <w:u w:color="000000"/>
          <w:rtl w:val="0"/>
        </w:rPr>
      </w:pPr>
      <w:r>
        <w:rPr>
          <w:rFonts w:ascii="Arial" w:hAnsi="Arial"/>
          <w:b w:val="1"/>
          <w:bCs w:val="1"/>
          <w:outline w:val="0"/>
          <w:color w:val="17365d"/>
          <w:sz w:val="36"/>
          <w:szCs w:val="36"/>
          <w:u w:color="17365d"/>
          <w:rtl w:val="0"/>
          <w:lang w:val="de-DE"/>
          <w14:textFill>
            <w14:solidFill>
              <w14:srgbClr w14:val="17365D"/>
            </w14:solidFill>
          </w14:textFill>
        </w:rPr>
        <w:t>TECHNICAL DATA SHEET</w:t>
      </w:r>
    </w:p>
    <w:p>
      <w:pPr>
        <w:pStyle w:val="Body"/>
        <w:bidi w:val="0"/>
        <w:spacing w:after="80" w:line="252" w:lineRule="auto"/>
        <w:ind w:left="0" w:right="0" w:firstLine="0"/>
        <w:jc w:val="center"/>
        <w:rPr>
          <w:rFonts w:ascii="Arial" w:cs="Arial" w:hAnsi="Arial" w:eastAsia="Arial"/>
          <w:sz w:val="18"/>
          <w:szCs w:val="18"/>
          <w:u w:color="000000"/>
          <w:rtl w:val="0"/>
        </w:rPr>
      </w:pPr>
      <w:r>
        <w:rPr>
          <w:rFonts w:ascii="Arial" w:hAnsi="Arial"/>
          <w:b w:val="1"/>
          <w:bCs w:val="1"/>
          <w:outline w:val="0"/>
          <w:color w:val="245e46"/>
          <w:sz w:val="28"/>
          <w:szCs w:val="28"/>
          <w:u w:color="245e46"/>
          <w:rtl w:val="0"/>
          <w:lang w:val="en-US"/>
          <w14:textFill>
            <w14:solidFill>
              <w14:srgbClr w14:val="245E46"/>
            </w14:solidFill>
          </w14:textFill>
        </w:rPr>
        <w:t>Titanium Oxynitride (TiON) Nanoparticles</w:t>
      </w:r>
    </w:p>
    <w:p>
      <w:pPr>
        <w:pStyle w:val="Body"/>
        <w:bidi w:val="0"/>
        <w:spacing w:after="200" w:line="252" w:lineRule="auto"/>
        <w:ind w:left="0" w:right="0" w:firstLine="0"/>
        <w:jc w:val="center"/>
        <w:rPr>
          <w:rFonts w:ascii="Arial" w:cs="Arial" w:hAnsi="Arial" w:eastAsia="Arial"/>
          <w:sz w:val="18"/>
          <w:szCs w:val="18"/>
          <w:u w:color="000000"/>
          <w:rtl w:val="0"/>
        </w:rPr>
      </w:pPr>
      <w:r>
        <w:rPr>
          <w:rFonts w:ascii="Arial" w:hAnsi="Arial"/>
          <w:i w:val="1"/>
          <w:iCs w:val="1"/>
          <w:outline w:val="0"/>
          <w:color w:val="555555"/>
          <w:sz w:val="21"/>
          <w:szCs w:val="21"/>
          <w:u w:color="555555"/>
          <w:rtl w:val="0"/>
          <w:lang w:val="en-US"/>
          <w14:textFill>
            <w14:solidFill>
              <w14:srgbClr w14:val="555555"/>
            </w14:solidFill>
          </w14:textFill>
        </w:rPr>
        <w:t>Low-Temperature Colloid-Synthesized Research Grade</w:t>
      </w: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en-US"/>
          <w14:textFill>
            <w14:solidFill>
              <w14:srgbClr w14:val="17365D"/>
            </w14:solidFill>
          </w14:textFill>
        </w:rPr>
        <w:t>1. PRODUCT IDENTIFICATION AND POSITIONING</w:t>
      </w:r>
    </w:p>
    <w:tbl>
      <w:tblPr>
        <w:tblW w:w="1045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227"/>
        <w:gridCol w:w="5227"/>
      </w:tblGrid>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Parameter</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Value</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Product Name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Titanium oxynitride nanoparticles (TiON NPs)</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Chemical Description</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TiO_xN_y, oxygen-rich titanium oxynitride</w:t>
            </w:r>
          </w:p>
        </w:tc>
      </w:tr>
      <w:tr>
        <w:tblPrEx>
          <w:shd w:val="clear" w:color="auto" w:fill="ced7e7"/>
        </w:tblPrEx>
        <w:trPr>
          <w:trHeight w:val="230"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Representative Composition Range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TiO</w:t>
            </w:r>
            <w:r>
              <w:rPr>
                <w:rFonts w:ascii="Arial Unicode MS" w:cs="Arial Unicode MS" w:hAnsi="Arial Unicode MS" w:eastAsia="Arial Unicode MS" w:hint="default"/>
                <w:b w:val="0"/>
                <w:bCs w:val="0"/>
                <w:i w:val="0"/>
                <w:iCs w:val="0"/>
                <w:sz w:val="17"/>
                <w:szCs w:val="17"/>
                <w:u w:color="000000"/>
                <w:shd w:val="nil" w:color="auto" w:fill="auto"/>
                <w:rtl w:val="0"/>
                <w:lang w:val="en-US"/>
              </w:rPr>
              <w:t>₁</w:t>
            </w:r>
            <w:r>
              <w:rPr>
                <w:rFonts w:ascii="Arial" w:hAnsi="Arial"/>
                <w:sz w:val="17"/>
                <w:szCs w:val="17"/>
                <w:u w:color="000000"/>
                <w:shd w:val="nil" w:color="auto" w:fill="auto"/>
                <w:rtl w:val="0"/>
                <w:lang w:val="en-US"/>
              </w:rPr>
              <w:t>.</w:t>
            </w:r>
            <w:r>
              <w:rPr>
                <w:rFonts w:ascii="Arial Unicode MS" w:cs="Arial Unicode MS" w:hAnsi="Arial Unicode MS" w:eastAsia="Arial Unicode MS" w:hint="default"/>
                <w:b w:val="0"/>
                <w:bCs w:val="0"/>
                <w:i w:val="0"/>
                <w:iCs w:val="0"/>
                <w:sz w:val="17"/>
                <w:szCs w:val="17"/>
                <w:u w:color="000000"/>
                <w:shd w:val="nil" w:color="auto" w:fill="auto"/>
                <w:rtl w:val="0"/>
                <w:lang w:val="en-US"/>
              </w:rPr>
              <w:t>₅</w:t>
            </w:r>
            <w:r>
              <w:rPr>
                <w:rFonts w:ascii="Arial" w:hAnsi="Arial" w:hint="default"/>
                <w:sz w:val="17"/>
                <w:szCs w:val="17"/>
                <w:u w:color="000000"/>
                <w:shd w:val="nil" w:color="auto" w:fill="auto"/>
                <w:rtl w:val="0"/>
                <w:lang w:val="en-US"/>
              </w:rPr>
              <w:t>–</w:t>
            </w:r>
            <w:r>
              <w:rPr>
                <w:rFonts w:ascii="Arial Unicode MS" w:cs="Arial Unicode MS" w:hAnsi="Arial Unicode MS" w:eastAsia="Arial Unicode MS" w:hint="default"/>
                <w:b w:val="0"/>
                <w:bCs w:val="0"/>
                <w:i w:val="0"/>
                <w:iCs w:val="0"/>
                <w:sz w:val="17"/>
                <w:szCs w:val="17"/>
                <w:u w:color="000000"/>
                <w:shd w:val="nil" w:color="auto" w:fill="auto"/>
                <w:rtl w:val="0"/>
                <w:lang w:val="en-US"/>
              </w:rPr>
              <w:t>₁</w:t>
            </w:r>
            <w:r>
              <w:rPr>
                <w:rFonts w:ascii="Arial" w:hAnsi="Arial"/>
                <w:sz w:val="17"/>
                <w:szCs w:val="17"/>
                <w:u w:color="000000"/>
                <w:shd w:val="nil" w:color="auto" w:fill="auto"/>
                <w:rtl w:val="0"/>
                <w:lang w:val="en-US"/>
              </w:rPr>
              <w:t>.</w:t>
            </w:r>
            <w:r>
              <w:rPr>
                <w:rFonts w:ascii="Arial Unicode MS" w:cs="Arial Unicode MS" w:hAnsi="Arial Unicode MS" w:eastAsia="Arial Unicode MS" w:hint="default"/>
                <w:b w:val="0"/>
                <w:bCs w:val="0"/>
                <w:i w:val="0"/>
                <w:iCs w:val="0"/>
                <w:sz w:val="17"/>
                <w:szCs w:val="17"/>
                <w:u w:color="000000"/>
                <w:shd w:val="nil" w:color="auto" w:fill="auto"/>
                <w:rtl w:val="0"/>
                <w:lang w:val="en-US"/>
              </w:rPr>
              <w:t>₈</w:t>
            </w:r>
            <w:r>
              <w:rPr>
                <w:rFonts w:ascii="Arial" w:hAnsi="Arial"/>
                <w:sz w:val="17"/>
                <w:szCs w:val="17"/>
                <w:u w:color="000000"/>
                <w:shd w:val="nil" w:color="auto" w:fill="auto"/>
                <w:rtl w:val="0"/>
                <w:lang w:val="en-US"/>
              </w:rPr>
              <w:t>N</w:t>
            </w:r>
            <w:r>
              <w:rPr>
                <w:rFonts w:ascii="Arial Unicode MS" w:cs="Arial Unicode MS" w:hAnsi="Arial Unicode MS" w:eastAsia="Arial Unicode MS" w:hint="default"/>
                <w:b w:val="0"/>
                <w:bCs w:val="0"/>
                <w:i w:val="0"/>
                <w:iCs w:val="0"/>
                <w:sz w:val="17"/>
                <w:szCs w:val="17"/>
                <w:u w:color="000000"/>
                <w:shd w:val="nil" w:color="auto" w:fill="auto"/>
                <w:rtl w:val="0"/>
                <w:lang w:val="en-US"/>
              </w:rPr>
              <w:t>₀</w:t>
            </w:r>
            <w:r>
              <w:rPr>
                <w:rFonts w:ascii="Arial" w:hAnsi="Arial"/>
                <w:sz w:val="17"/>
                <w:szCs w:val="17"/>
                <w:u w:color="000000"/>
                <w:shd w:val="nil" w:color="auto" w:fill="auto"/>
                <w:rtl w:val="0"/>
                <w:lang w:val="en-US"/>
              </w:rPr>
              <w:t>.</w:t>
            </w:r>
            <w:r>
              <w:rPr>
                <w:rFonts w:ascii="Arial Unicode MS" w:cs="Arial Unicode MS" w:hAnsi="Arial Unicode MS" w:eastAsia="Arial Unicode MS" w:hint="default"/>
                <w:b w:val="0"/>
                <w:bCs w:val="0"/>
                <w:i w:val="0"/>
                <w:iCs w:val="0"/>
                <w:sz w:val="17"/>
                <w:szCs w:val="17"/>
                <w:u w:color="000000"/>
                <w:shd w:val="nil" w:color="auto" w:fill="auto"/>
                <w:rtl w:val="0"/>
                <w:lang w:val="en-US"/>
              </w:rPr>
              <w:t>₂</w:t>
            </w:r>
            <w:r>
              <w:rPr>
                <w:rFonts w:ascii="Arial" w:hAnsi="Arial" w:hint="default"/>
                <w:sz w:val="17"/>
                <w:szCs w:val="17"/>
                <w:u w:color="000000"/>
                <w:shd w:val="nil" w:color="auto" w:fill="auto"/>
                <w:rtl w:val="0"/>
                <w:lang w:val="en-US"/>
              </w:rPr>
              <w:t>–</w:t>
            </w:r>
            <w:r>
              <w:rPr>
                <w:rFonts w:ascii="Arial Unicode MS" w:cs="Arial Unicode MS" w:hAnsi="Arial Unicode MS" w:eastAsia="Arial Unicode MS" w:hint="default"/>
                <w:b w:val="0"/>
                <w:bCs w:val="0"/>
                <w:i w:val="0"/>
                <w:iCs w:val="0"/>
                <w:sz w:val="17"/>
                <w:szCs w:val="17"/>
                <w:u w:color="000000"/>
                <w:shd w:val="nil" w:color="auto" w:fill="auto"/>
                <w:rtl w:val="0"/>
                <w:lang w:val="en-US"/>
              </w:rPr>
              <w:t>₀</w:t>
            </w:r>
            <w:r>
              <w:rPr>
                <w:rFonts w:ascii="Arial" w:hAnsi="Arial"/>
                <w:sz w:val="17"/>
                <w:szCs w:val="17"/>
                <w:u w:color="000000"/>
                <w:shd w:val="nil" w:color="auto" w:fill="auto"/>
                <w:rtl w:val="0"/>
                <w:lang w:val="en-US"/>
              </w:rPr>
              <w:t>.</w:t>
            </w:r>
            <w:r>
              <w:rPr>
                <w:rFonts w:ascii="Arial Unicode MS" w:cs="Arial Unicode MS" w:hAnsi="Arial Unicode MS" w:eastAsia="Arial Unicode MS" w:hint="default"/>
                <w:b w:val="0"/>
                <w:bCs w:val="0"/>
                <w:i w:val="0"/>
                <w:iCs w:val="0"/>
                <w:sz w:val="17"/>
                <w:szCs w:val="17"/>
                <w:u w:color="000000"/>
                <w:shd w:val="nil" w:color="auto" w:fill="auto"/>
                <w:rtl w:val="0"/>
                <w:lang w:val="en-US"/>
              </w:rPr>
              <w:t>₄</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O:N Atomic Ratio</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 xml:space="preserve">O:N </w:t>
            </w:r>
            <w:r>
              <w:rPr>
                <w:rFonts w:ascii="Arial" w:hAnsi="Arial" w:hint="default"/>
                <w:sz w:val="17"/>
                <w:szCs w:val="17"/>
                <w:u w:color="000000"/>
                <w:shd w:val="nil" w:color="auto" w:fill="auto"/>
                <w:rtl w:val="0"/>
                <w:lang w:val="en-US"/>
              </w:rPr>
              <w:t xml:space="preserve">≈ </w:t>
            </w:r>
            <w:r>
              <w:rPr>
                <w:rFonts w:ascii="Arial" w:hAnsi="Arial"/>
                <w:sz w:val="17"/>
                <w:szCs w:val="17"/>
                <w:u w:color="000000"/>
                <w:shd w:val="nil" w:color="auto" w:fill="auto"/>
                <w:rtl w:val="0"/>
                <w:lang w:val="en-US"/>
              </w:rPr>
              <w:t>5:1, typical for oxygen-rich TiON</w:t>
            </w:r>
          </w:p>
        </w:tc>
      </w:tr>
      <w:tr>
        <w:tblPrEx>
          <w:shd w:val="clear" w:color="auto" w:fill="ced7e7"/>
        </w:tblPrEx>
        <w:trPr>
          <w:trHeight w:val="41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Form</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Black nanopowder; temporarily dispersible under sonication/agitation</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CAS Number</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12654-95-8* (titanium oxynitride class)</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Version</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3.0 (Research Grade)</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Date of Issue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January 2026</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Supply Positioning</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Academic / early commercial scale</w:t>
            </w:r>
          </w:p>
        </w:tc>
      </w:tr>
    </w:tbl>
    <w:p>
      <w:pPr>
        <w:pStyle w:val="Heading"/>
        <w:keepLines w:val="1"/>
        <w:widowControl w:val="0"/>
        <w:bidi w:val="0"/>
        <w:spacing w:before="240" w:after="100"/>
        <w:ind w:left="0" w:right="0" w:firstLine="0"/>
        <w:jc w:val="center"/>
        <w:rPr>
          <w:rFonts w:ascii="Arial" w:cs="Arial" w:hAnsi="Arial" w:eastAsia="Arial"/>
          <w:outline w:val="0"/>
          <w:color w:val="17365d"/>
          <w:sz w:val="30"/>
          <w:szCs w:val="30"/>
          <w:u w:color="17365d"/>
          <w:rtl w:val="0"/>
          <w14:textFill>
            <w14:solidFill>
              <w14:srgbClr w14:val="17365D"/>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i w:val="1"/>
          <w:iCs w:val="1"/>
          <w:sz w:val="17"/>
          <w:szCs w:val="17"/>
          <w:u w:color="000000"/>
          <w:rtl w:val="0"/>
          <w:lang w:val="en-US"/>
        </w:rPr>
        <w:t>Specific registry status may vary with stoichiometry, surface chemistry, synthesis route, and jurisdiction.</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This material is currently positioned as an emerging research and advanced functional-material platform rather than a standardized industrial commodity specification.</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en-US"/>
          <w14:textFill>
            <w14:solidFill>
              <w14:srgbClr w14:val="17365D"/>
            </w14:solidFill>
          </w14:textFill>
        </w:rPr>
        <w:t>2. DATA CATEGORY A - INTRINSIC NANOPARTICLE PROPERTIES</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Measured Product Properties</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Values in this section describe standalone TiON-rich nanoparticles as supplied or after routine laboratory handling. They should not be interpreted as thin-film, coating, pellet, electrode, or device-level performance specifications.</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it-IT"/>
          <w14:textFill>
            <w14:solidFill>
              <w14:srgbClr w14:val="245E46"/>
            </w14:solidFill>
          </w14:textFill>
        </w:rPr>
        <w:t>2.1 Composition and Stoichiometry</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Representative Value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Method / Basis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Titanium (Ti)</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50-58 wt %</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XPS, ICP-MS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Oxygen (O)</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28-38 wt %</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XPS, EELS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Nitrogen (N)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8-12 wt %</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XPS, EELS, ICP-MS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O:N Atomic Ratio</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 xml:space="preserve">O:N </w:t>
            </w:r>
            <w:r>
              <w:rPr>
                <w:rFonts w:ascii="Arial" w:hAnsi="Arial" w:hint="default"/>
                <w:sz w:val="16"/>
                <w:szCs w:val="16"/>
                <w:u w:color="000000"/>
                <w:shd w:val="nil" w:color="auto" w:fill="auto"/>
                <w:rtl w:val="0"/>
                <w:lang w:val="en-US"/>
              </w:rPr>
              <w:t xml:space="preserve">≈ </w:t>
            </w:r>
            <w:r>
              <w:rPr>
                <w:rFonts w:ascii="Arial" w:hAnsi="Arial"/>
                <w:sz w:val="16"/>
                <w:szCs w:val="16"/>
                <w:u w:color="000000"/>
                <w:shd w:val="nil" w:color="auto" w:fill="auto"/>
                <w:rtl w:val="0"/>
                <w:lang w:val="en-US"/>
              </w:rPr>
              <w:t>5:1, typical range 4.5-5.5</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XPS / EELS atomic ratio</w:t>
            </w:r>
          </w:p>
        </w:tc>
      </w:tr>
      <w:tr>
        <w:tblPrEx>
          <w:shd w:val="clear" w:color="auto" w:fill="ced7e7"/>
        </w:tblPrEx>
        <w:trPr>
          <w:trHeight w:val="210"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Representative Stoichiometry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TiO</w:t>
            </w:r>
            <w:r>
              <w:rPr>
                <w:rFonts w:ascii="Arial Unicode MS" w:cs="Arial Unicode MS" w:hAnsi="Arial Unicode MS" w:eastAsia="Arial Unicode MS" w:hint="default"/>
                <w:b w:val="0"/>
                <w:bCs w:val="0"/>
                <w:i w:val="0"/>
                <w:iCs w:val="0"/>
                <w:sz w:val="16"/>
                <w:szCs w:val="16"/>
                <w:u w:color="000000"/>
                <w:shd w:val="nil" w:color="auto" w:fill="auto"/>
                <w:rtl w:val="0"/>
                <w:lang w:val="en-US"/>
              </w:rPr>
              <w:t>₁</w:t>
            </w:r>
            <w:r>
              <w:rPr>
                <w:rFonts w:ascii="Arial" w:hAnsi="Arial"/>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₅</w:t>
            </w:r>
            <w:r>
              <w:rPr>
                <w:rFonts w:ascii="Arial" w:hAnsi="Arial" w:hint="default"/>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₁</w:t>
            </w:r>
            <w:r>
              <w:rPr>
                <w:rFonts w:ascii="Arial" w:hAnsi="Arial"/>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₈</w:t>
            </w:r>
            <w:r>
              <w:rPr>
                <w:rFonts w:ascii="Arial" w:hAnsi="Arial"/>
                <w:sz w:val="16"/>
                <w:szCs w:val="16"/>
                <w:u w:color="000000"/>
                <w:shd w:val="nil" w:color="auto" w:fill="auto"/>
                <w:rtl w:val="0"/>
                <w:lang w:val="en-US"/>
              </w:rPr>
              <w:t>N</w:t>
            </w:r>
            <w:r>
              <w:rPr>
                <w:rFonts w:ascii="Arial Unicode MS" w:cs="Arial Unicode MS" w:hAnsi="Arial Unicode MS" w:eastAsia="Arial Unicode MS" w:hint="default"/>
                <w:b w:val="0"/>
                <w:bCs w:val="0"/>
                <w:i w:val="0"/>
                <w:iCs w:val="0"/>
                <w:sz w:val="16"/>
                <w:szCs w:val="16"/>
                <w:u w:color="000000"/>
                <w:shd w:val="nil" w:color="auto" w:fill="auto"/>
                <w:rtl w:val="0"/>
                <w:lang w:val="en-US"/>
              </w:rPr>
              <w:t>₀</w:t>
            </w:r>
            <w:r>
              <w:rPr>
                <w:rFonts w:ascii="Arial" w:hAnsi="Arial"/>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₂</w:t>
            </w:r>
            <w:r>
              <w:rPr>
                <w:rFonts w:ascii="Arial" w:hAnsi="Arial" w:hint="default"/>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₀</w:t>
            </w:r>
            <w:r>
              <w:rPr>
                <w:rFonts w:ascii="Arial" w:hAnsi="Arial"/>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₄</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Calculated from atomic composition</w:t>
            </w:r>
          </w:p>
        </w:tc>
      </w:tr>
      <w:tr>
        <w:tblPrEx>
          <w:shd w:val="clear" w:color="auto" w:fill="ced7e7"/>
        </w:tblPrEx>
        <w:trPr>
          <w:trHeight w:val="210"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Average Ti Oxidation State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Mixed Ti</w:t>
            </w:r>
            <w:r>
              <w:rPr>
                <w:rFonts w:ascii="Arial" w:hAnsi="Arial" w:hint="default"/>
                <w:sz w:val="16"/>
                <w:szCs w:val="16"/>
                <w:u w:color="000000"/>
                <w:shd w:val="nil" w:color="auto" w:fill="auto"/>
                <w:rtl w:val="0"/>
                <w:lang w:val="en-US"/>
              </w:rPr>
              <w:t>³</w:t>
            </w:r>
            <w:r>
              <w:rPr>
                <w:rFonts w:ascii="Arial Unicode MS" w:cs="Arial Unicode MS" w:hAnsi="Arial Unicode MS" w:eastAsia="Arial Unicode MS" w:hint="default"/>
                <w:b w:val="0"/>
                <w:bCs w:val="0"/>
                <w:i w:val="0"/>
                <w:iCs w:val="0"/>
                <w:sz w:val="16"/>
                <w:szCs w:val="16"/>
                <w:u w:color="000000"/>
                <w:shd w:val="nil" w:color="auto" w:fill="auto"/>
                <w:rtl w:val="0"/>
                <w:lang w:val="en-US"/>
              </w:rPr>
              <w:t>⁺</w:t>
            </w:r>
            <w:r>
              <w:rPr>
                <w:rFonts w:ascii="Arial" w:hAnsi="Arial"/>
                <w:sz w:val="16"/>
                <w:szCs w:val="16"/>
                <w:u w:color="000000"/>
                <w:shd w:val="nil" w:color="auto" w:fill="auto"/>
                <w:rtl w:val="0"/>
                <w:lang w:val="en-US"/>
              </w:rPr>
              <w:t>/Ti</w:t>
            </w:r>
            <w:r>
              <w:rPr>
                <w:rFonts w:ascii="Arial Unicode MS" w:cs="Arial Unicode MS" w:hAnsi="Arial Unicode MS" w:eastAsia="Arial Unicode MS" w:hint="default"/>
                <w:b w:val="0"/>
                <w:bCs w:val="0"/>
                <w:i w:val="0"/>
                <w:iCs w:val="0"/>
                <w:sz w:val="16"/>
                <w:szCs w:val="16"/>
                <w:u w:color="000000"/>
                <w:shd w:val="nil" w:color="auto" w:fill="auto"/>
                <w:rtl w:val="0"/>
                <w:lang w:val="en-US"/>
              </w:rPr>
              <w:t>⁴⁺</w:t>
            </w:r>
            <w:r>
              <w:rPr>
                <w:rFonts w:ascii="Arial" w:hAnsi="Arial"/>
                <w:sz w:val="16"/>
                <w:szCs w:val="16"/>
                <w:u w:color="000000"/>
                <w:shd w:val="nil" w:color="auto" w:fill="auto"/>
                <w:rtl w:val="0"/>
                <w:lang w:val="en-US"/>
              </w:rPr>
              <w:t xml:space="preserve"> </w:t>
            </w:r>
            <w:r>
              <w:rPr>
                <w:rFonts w:ascii="Arial" w:hAnsi="Arial"/>
                <w:sz w:val="16"/>
                <w:szCs w:val="16"/>
                <w:u w:color="000000"/>
                <w:shd w:val="nil" w:color="auto" w:fill="auto"/>
                <w:rtl w:val="0"/>
                <w:lang w:val="en-US"/>
              </w:rPr>
              <w:t>character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XPS / EELS interpretation</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Residual Organics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2-5 wt %</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TGA; TOPO/CTAB remnants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Metallic Impurities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&lt;0.5 wt % combined Fe, Si, Al, Zr, typical</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ICP-MS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Moisture Content</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&lt;1.5 wt %, typical</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TGA / gravimetric</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2.2 Phase, Structure, and Surface Chemistry</w:t>
      </w:r>
    </w:p>
    <w:tbl>
      <w:tblPr>
        <w:tblW w:w="1044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625"/>
        <w:gridCol w:w="4144"/>
        <w:gridCol w:w="3675"/>
      </w:tblGrid>
      <w:tr>
        <w:tblPrEx>
          <w:shd w:val="clear" w:color="auto" w:fill="ced7e7"/>
        </w:tblPrEx>
        <w:trPr>
          <w:trHeight w:val="204"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Representative Value</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Notes</w:t>
            </w:r>
          </w:p>
        </w:tc>
      </w:tr>
      <w:tr>
        <w:tblPrEx>
          <w:shd w:val="clear" w:color="auto" w:fill="ced7e7"/>
        </w:tblPrEx>
        <w:trPr>
          <w:trHeight w:val="374"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Dominant Phase</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TiON-rich rock-salt FCC phase</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Often accompanied by surface oxidation and local nonstoichiometry</w:t>
            </w:r>
          </w:p>
        </w:tc>
      </w:tr>
      <w:tr>
        <w:tblPrEx>
          <w:shd w:val="clear" w:color="auto" w:fill="ced7e7"/>
        </w:tblPrEx>
        <w:trPr>
          <w:trHeight w:val="185"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Crystal System</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Face-centered cubic (FCC)</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Rock-salt / NaCl-type motif</w:t>
            </w:r>
          </w:p>
        </w:tc>
      </w:tr>
      <w:tr>
        <w:tblPrEx>
          <w:shd w:val="clear" w:color="auto" w:fill="ced7e7"/>
        </w:tblPrEx>
        <w:trPr>
          <w:trHeight w:val="185"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Space Group</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Fm-3m</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Literature-consistent assignment</w:t>
            </w:r>
          </w:p>
        </w:tc>
      </w:tr>
      <w:tr>
        <w:tblPrEx>
          <w:shd w:val="clear" w:color="auto" w:fill="ced7e7"/>
        </w:tblPrEx>
        <w:trPr>
          <w:trHeight w:val="185"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Lattice Parameter</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~0.416 nm</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Depends on O/N ratio and defect concentration</w:t>
            </w:r>
          </w:p>
        </w:tc>
      </w:tr>
      <w:tr>
        <w:tblPrEx>
          <w:shd w:val="clear" w:color="auto" w:fill="ced7e7"/>
        </w:tblPrEx>
        <w:trPr>
          <w:trHeight w:val="374"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Principal XRD Reflections</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(111), (200), (220)</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Broad reflections expected for nanoscale domains</w:t>
            </w:r>
          </w:p>
        </w:tc>
      </w:tr>
      <w:tr>
        <w:tblPrEx>
          <w:shd w:val="clear" w:color="auto" w:fill="ced7e7"/>
        </w:tblPrEx>
        <w:trPr>
          <w:trHeight w:val="185"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Crystalline Domain Size</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~3 nm, representative</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Scherrer estimate; particles are polycrystalline</w:t>
            </w:r>
          </w:p>
        </w:tc>
      </w:tr>
      <w:tr>
        <w:tblPrEx>
          <w:shd w:val="clear" w:color="auto" w:fill="ced7e7"/>
        </w:tblPrEx>
        <w:trPr>
          <w:trHeight w:val="210"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Surface Passivation</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TiO</w:t>
            </w:r>
            <w:r>
              <w:rPr>
                <w:rFonts w:ascii="Arial Unicode MS" w:cs="Arial Unicode MS" w:hAnsi="Arial Unicode MS" w:eastAsia="Arial Unicode MS" w:hint="default"/>
                <w:b w:val="0"/>
                <w:bCs w:val="0"/>
                <w:i w:val="0"/>
                <w:iCs w:val="0"/>
                <w:sz w:val="16"/>
                <w:szCs w:val="16"/>
                <w:u w:color="000000"/>
                <w:shd w:val="nil" w:color="auto" w:fill="auto"/>
                <w:rtl w:val="0"/>
                <w:lang w:val="en-US"/>
              </w:rPr>
              <w:t>₂</w:t>
            </w:r>
            <w:r>
              <w:rPr>
                <w:rFonts w:ascii="Arial" w:hAnsi="Arial"/>
                <w:sz w:val="16"/>
                <w:szCs w:val="16"/>
                <w:u w:color="000000"/>
                <w:shd w:val="nil" w:color="auto" w:fill="auto"/>
                <w:rtl w:val="0"/>
                <w:lang w:val="en-US"/>
              </w:rPr>
              <w:t>-rich surface layer expected after air exposure</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Typically ~1-2 nm under ambient conditions</w:t>
            </w:r>
          </w:p>
        </w:tc>
      </w:tr>
      <w:tr>
        <w:tblPrEx>
          <w:shd w:val="clear" w:color="auto" w:fill="ced7e7"/>
        </w:tblPrEx>
        <w:trPr>
          <w:trHeight w:val="400" w:hRule="atLeast"/>
        </w:trPr>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Local Structural Heterogeneity</w:t>
            </w:r>
          </w:p>
        </w:tc>
        <w:tc>
          <w:tcPr>
            <w:tcW w:type="dxa" w:w="41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Possible TiO</w:t>
            </w:r>
            <w:r>
              <w:rPr>
                <w:rFonts w:ascii="Arial Unicode MS" w:cs="Arial Unicode MS" w:hAnsi="Arial Unicode MS" w:eastAsia="Arial Unicode MS" w:hint="default"/>
                <w:b w:val="0"/>
                <w:bCs w:val="0"/>
                <w:i w:val="0"/>
                <w:iCs w:val="0"/>
                <w:sz w:val="16"/>
                <w:szCs w:val="16"/>
                <w:u w:color="000000"/>
                <w:shd w:val="nil" w:color="auto" w:fill="auto"/>
                <w:rtl w:val="0"/>
                <w:lang w:val="en-US"/>
              </w:rPr>
              <w:t>₂</w:t>
            </w:r>
            <w:r>
              <w:rPr>
                <w:rFonts w:ascii="Arial" w:hAnsi="Arial"/>
                <w:sz w:val="16"/>
                <w:szCs w:val="16"/>
                <w:u w:color="000000"/>
                <w:shd w:val="nil" w:color="auto" w:fill="auto"/>
                <w:rtl w:val="0"/>
                <w:lang w:val="en-US"/>
              </w:rPr>
              <w:t>-rich surface, substoichiometric regions, and local TiN-like domains</w:t>
            </w:r>
          </w:p>
        </w:tc>
        <w:tc>
          <w:tcPr>
            <w:tcW w:type="dxa" w:w="36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Expected for oxygen-rich TiO_xN_y nanoparticles</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2.3 Particle Size and Morphology</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Representative Value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Method / Basis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Primary Particle Size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~65 nm mean; typical range 50-80 nm</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TEM / STEM</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Particle Morphology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Cubic / cube-like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TEM / STEM</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Aggregation State (Dry Powder)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Loosely aggregated nanoparticle powder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Re-dispersion depends on solvent and processing</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Specific Surface Area</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15-25 m</w:t>
            </w:r>
            <w:r>
              <w:rPr>
                <w:rFonts w:ascii="Arial" w:hAnsi="Arial" w:hint="default"/>
                <w:sz w:val="16"/>
                <w:szCs w:val="16"/>
                <w:u w:color="000000"/>
                <w:shd w:val="nil" w:color="auto" w:fill="auto"/>
                <w:rtl w:val="0"/>
                <w:lang w:val="en-US"/>
              </w:rPr>
              <w:t>²</w:t>
            </w:r>
            <w:r>
              <w:rPr>
                <w:rFonts w:ascii="Arial" w:hAnsi="Arial"/>
                <w:sz w:val="16"/>
                <w:szCs w:val="16"/>
                <w:u w:color="000000"/>
                <w:shd w:val="nil" w:color="auto" w:fill="auto"/>
                <w:rtl w:val="0"/>
                <w:lang w:val="en-US"/>
              </w:rPr>
              <w:t>/g, typical</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BET nitrogen adsorption</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Apparent Powder Density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2.8-3.2 g/cm</w:t>
            </w:r>
            <w:r>
              <w:rPr>
                <w:rFonts w:ascii="Arial" w:hAnsi="Arial" w:hint="default"/>
                <w:sz w:val="16"/>
                <w:szCs w:val="16"/>
                <w:u w:color="000000"/>
                <w:shd w:val="nil" w:color="auto" w:fill="auto"/>
                <w:rtl w:val="0"/>
                <w:lang w:val="en-US"/>
              </w:rPr>
              <w:t>³</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Tapped / apparent powder measurement</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Theoretical Density Reference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~4.8 g/cm</w:t>
            </w:r>
            <w:r>
              <w:rPr>
                <w:rFonts w:ascii="Arial" w:hAnsi="Arial" w:hint="default"/>
                <w:sz w:val="16"/>
                <w:szCs w:val="16"/>
                <w:u w:color="000000"/>
                <w:shd w:val="nil" w:color="auto" w:fill="auto"/>
                <w:rtl w:val="0"/>
                <w:lang w:val="en-US"/>
              </w:rPr>
              <w:t>³</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Dense TiON-rich material reference</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2.4 Optical and Surface Properties</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Representative Value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Notes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Appearance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Black powder with metallic reflection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Consistent with strong visible absorption</w:t>
            </w:r>
          </w:p>
        </w:tc>
      </w:tr>
      <w:tr>
        <w:tblPrEx>
          <w:shd w:val="clear" w:color="auto" w:fill="ced7e7"/>
        </w:tblPrEx>
        <w:trPr>
          <w:trHeight w:val="562"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Optical Functional Positioning</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Absorptive optical coating, solar-selective coating, tunable optical-functional material, conductive dark coating</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Dark / absorptive material positioning</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Dark-Field Scattering Maximum</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600-700 nm,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Particle-size and dispersion dependent</w:t>
            </w:r>
          </w:p>
        </w:tc>
      </w:tr>
      <w:tr>
        <w:tblPrEx>
          <w:shd w:val="clear" w:color="auto" w:fill="ced7e7"/>
        </w:tblPrEx>
        <w:trPr>
          <w:trHeight w:val="399"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UV-Vis Absorption Feature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~300 nm contribution often associated with TiO</w:t>
            </w:r>
            <w:r>
              <w:rPr>
                <w:rFonts w:ascii="Arial Unicode MS" w:cs="Arial Unicode MS" w:hAnsi="Arial Unicode MS" w:eastAsia="Arial Unicode MS" w:hint="default"/>
                <w:b w:val="0"/>
                <w:bCs w:val="0"/>
                <w:i w:val="0"/>
                <w:iCs w:val="0"/>
                <w:sz w:val="16"/>
                <w:szCs w:val="16"/>
                <w:u w:color="000000"/>
                <w:shd w:val="nil" w:color="auto" w:fill="auto"/>
                <w:rtl w:val="0"/>
                <w:lang w:val="en-US"/>
              </w:rPr>
              <w:t>₂</w:t>
            </w:r>
            <w:r>
              <w:rPr>
                <w:rFonts w:ascii="Arial" w:hAnsi="Arial"/>
                <w:sz w:val="16"/>
                <w:szCs w:val="16"/>
                <w:u w:color="000000"/>
                <w:shd w:val="nil" w:color="auto" w:fill="auto"/>
                <w:rtl w:val="0"/>
                <w:lang w:val="en-US"/>
              </w:rPr>
              <w:t>-rich surface character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Surface chemistry dependent</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Apparent Optical Transition Energy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2.8-3.2 eV,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Effective absorption edge, not a discrete semiconductor band-edge specification</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Surface Charge (Zeta Potential)</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-15 to +5 mV at pH 7 in DI water,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Indicates limited electrostatic stabilization near neutral pH</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Isoelectric Point</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pH 5.5-6.5,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Surface-chemistry dependent</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2.5 Wettability and Dispersibility</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Medium / Property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Observation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Notes</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Water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Temporarily dispersible under sonication/agitation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Aqueous colloidal stability depends strongly on pH, surfactant, and ionic strength</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DMF</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Readily dispersible; representative stability &gt;1 week</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Stronger practical dispersibility than water</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Ethanol</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Dispersible with sonication; settling depends on solids loading</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May require surfactant or re-sonication</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DMSO / Acetone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Generally compatible for short laboratory processing</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Verify against intended binder or ligand system</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2.6 Thermal and Storage-Relevant Stability</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Representative Value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Notes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Thermal Stability in Nitrogen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FCC structure generally retained to ~400</w:t>
            </w:r>
            <w:r>
              <w:rPr>
                <w:rFonts w:ascii="Arial" w:hAnsi="Arial" w:hint="default"/>
                <w:sz w:val="16"/>
                <w:szCs w:val="16"/>
                <w:u w:color="000000"/>
                <w:shd w:val="nil" w:color="auto" w:fill="auto"/>
                <w:rtl w:val="0"/>
                <w:lang w:val="en-US"/>
              </w:rPr>
              <w:t>°</w:t>
            </w:r>
            <w:r>
              <w:rPr>
                <w:rFonts w:ascii="Arial" w:hAnsi="Arial"/>
                <w:sz w:val="16"/>
                <w:szCs w:val="16"/>
                <w:u w:color="000000"/>
                <w:shd w:val="nil" w:color="auto" w:fill="auto"/>
                <w:rtl w:val="0"/>
                <w:lang w:val="en-US"/>
              </w:rPr>
              <w:t>C</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Literature- and process-dependent</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Oxidation Onset in Air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~350-400</w:t>
            </w:r>
            <w:r>
              <w:rPr>
                <w:rFonts w:ascii="Arial" w:hAnsi="Arial" w:hint="default"/>
                <w:sz w:val="16"/>
                <w:szCs w:val="16"/>
                <w:u w:color="000000"/>
                <w:shd w:val="nil" w:color="auto" w:fill="auto"/>
                <w:rtl w:val="0"/>
                <w:lang w:val="en-US"/>
              </w:rPr>
              <w:t>°</w:t>
            </w:r>
            <w:r>
              <w:rPr>
                <w:rFonts w:ascii="Arial" w:hAnsi="Arial"/>
                <w:sz w:val="16"/>
                <w:szCs w:val="16"/>
                <w:u w:color="000000"/>
                <w:shd w:val="nil" w:color="auto" w:fill="auto"/>
                <w:rtl w:val="0"/>
                <w:lang w:val="en-US"/>
              </w:rPr>
              <w:t>C</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Surface oxidation begins before bulk transformation</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High-Temperature Nitrogen Loss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&gt;600</w:t>
            </w:r>
            <w:r>
              <w:rPr>
                <w:rFonts w:ascii="Arial" w:hAnsi="Arial" w:hint="default"/>
                <w:sz w:val="16"/>
                <w:szCs w:val="16"/>
                <w:u w:color="000000"/>
                <w:shd w:val="nil" w:color="auto" w:fill="auto"/>
                <w:rtl w:val="0"/>
                <w:lang w:val="en-US"/>
              </w:rPr>
              <w:t>°</w:t>
            </w:r>
            <w:r>
              <w:rPr>
                <w:rFonts w:ascii="Arial" w:hAnsi="Arial"/>
                <w:sz w:val="16"/>
                <w:szCs w:val="16"/>
                <w:u w:color="000000"/>
                <w:shd w:val="nil" w:color="auto" w:fill="auto"/>
                <w:rtl w:val="0"/>
                <w:lang w:val="en-US"/>
              </w:rPr>
              <w:t>C,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Depends on atmosphere and dwell time</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Room-Temperature Air Exposure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Slow passivation by TiO</w:t>
            </w:r>
            <w:r>
              <w:rPr>
                <w:rFonts w:ascii="Arial Unicode MS" w:cs="Arial Unicode MS" w:hAnsi="Arial Unicode MS" w:eastAsia="Arial Unicode MS" w:hint="default"/>
                <w:b w:val="0"/>
                <w:bCs w:val="0"/>
                <w:i w:val="0"/>
                <w:iCs w:val="0"/>
                <w:sz w:val="16"/>
                <w:szCs w:val="16"/>
                <w:u w:color="000000"/>
                <w:shd w:val="nil" w:color="auto" w:fill="auto"/>
                <w:rtl w:val="0"/>
                <w:lang w:val="en-US"/>
              </w:rPr>
              <w:t>₂</w:t>
            </w:r>
            <w:r>
              <w:rPr>
                <w:rFonts w:ascii="Arial" w:hAnsi="Arial"/>
                <w:sz w:val="16"/>
                <w:szCs w:val="16"/>
                <w:u w:color="000000"/>
                <w:shd w:val="nil" w:color="auto" w:fill="auto"/>
                <w:rtl w:val="0"/>
                <w:lang w:val="en-US"/>
              </w:rPr>
              <w:t>-rich surface layer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Further oxidation is moderated after passivation</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de-DE"/>
          <w14:textFill>
            <w14:solidFill>
              <w14:srgbClr w14:val="17365D"/>
            </w14:solidFill>
          </w14:textFill>
        </w:rPr>
        <w:t>3. DATA CATEGORY B - THIN-FILM / COMPACTED-SAMPLE PROPERTIES</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Non-Powder Measurements</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Values in this section are measured or reported for deposited, compacted, sintered, or otherwise consolidated TiON-rich material. They are not loose nanopowder properties.</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3.1 Electrical Properties</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Literature-Reported Range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Measurement Context</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Electrical Conductivity (Compacted Pellets / Thin Films)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100</w:t>
            </w:r>
            <w:r>
              <w:rPr>
                <w:rFonts w:ascii="Arial" w:hAnsi="Arial" w:hint="default"/>
                <w:sz w:val="16"/>
                <w:szCs w:val="16"/>
                <w:u w:color="000000"/>
                <w:shd w:val="nil" w:color="auto" w:fill="auto"/>
                <w:rtl w:val="0"/>
                <w:lang w:val="en-US"/>
              </w:rPr>
              <w:t>–</w:t>
            </w:r>
            <w:r>
              <w:rPr>
                <w:rFonts w:ascii="Arial" w:hAnsi="Arial"/>
                <w:sz w:val="16"/>
                <w:szCs w:val="16"/>
                <w:u w:color="000000"/>
                <w:shd w:val="nil" w:color="auto" w:fill="auto"/>
                <w:rtl w:val="0"/>
                <w:lang w:val="en-US"/>
              </w:rPr>
              <w:t>500 S/cm (literature-reported range)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Four-point probe or related methods on consolidated material</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Conductivity Type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Primarily electronic conductivity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Ionic contribution should not be assigned without impedance spectroscopy</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Carrier Concentration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~10</w:t>
            </w:r>
            <w:r>
              <w:rPr>
                <w:rFonts w:ascii="Arial" w:hAnsi="Arial" w:hint="default"/>
                <w:sz w:val="16"/>
                <w:szCs w:val="16"/>
                <w:u w:color="000000"/>
                <w:shd w:val="nil" w:color="auto" w:fill="auto"/>
                <w:rtl w:val="0"/>
                <w:lang w:val="en-US"/>
              </w:rPr>
              <w:t>¹</w:t>
            </w:r>
            <w:r>
              <w:rPr>
                <w:rFonts w:ascii="Arial Unicode MS" w:cs="Arial Unicode MS" w:hAnsi="Arial Unicode MS" w:eastAsia="Arial Unicode MS" w:hint="default"/>
                <w:b w:val="0"/>
                <w:bCs w:val="0"/>
                <w:i w:val="0"/>
                <w:iCs w:val="0"/>
                <w:sz w:val="16"/>
                <w:szCs w:val="16"/>
                <w:u w:color="000000"/>
                <w:shd w:val="nil" w:color="auto" w:fill="auto"/>
                <w:rtl w:val="0"/>
                <w:lang w:val="en-US"/>
              </w:rPr>
              <w:t>⁹</w:t>
            </w:r>
            <w:r>
              <w:rPr>
                <w:rFonts w:ascii="Arial" w:hAnsi="Arial"/>
                <w:sz w:val="16"/>
                <w:szCs w:val="16"/>
                <w:u w:color="000000"/>
                <w:shd w:val="nil" w:color="auto" w:fill="auto"/>
                <w:rtl w:val="0"/>
                <w:lang w:val="en-US"/>
              </w:rPr>
              <w:t xml:space="preserve"> </w:t>
            </w:r>
            <w:r>
              <w:rPr>
                <w:rFonts w:ascii="Arial" w:hAnsi="Arial"/>
                <w:sz w:val="16"/>
                <w:szCs w:val="16"/>
                <w:u w:color="000000"/>
                <w:shd w:val="nil" w:color="auto" w:fill="auto"/>
                <w:rtl w:val="0"/>
                <w:lang w:val="en-US"/>
              </w:rPr>
              <w:t>cm</w:t>
            </w:r>
            <w:r>
              <w:rPr>
                <w:rFonts w:ascii="Arial Unicode MS" w:cs="Arial Unicode MS" w:hAnsi="Arial Unicode MS" w:eastAsia="Arial Unicode MS" w:hint="default"/>
                <w:b w:val="0"/>
                <w:bCs w:val="0"/>
                <w:i w:val="0"/>
                <w:iCs w:val="0"/>
                <w:sz w:val="16"/>
                <w:szCs w:val="16"/>
                <w:u w:color="000000"/>
                <w:shd w:val="nil" w:color="auto" w:fill="auto"/>
                <w:rtl w:val="0"/>
                <w:lang w:val="en-US"/>
              </w:rPr>
              <w:t>⁻</w:t>
            </w:r>
            <w:r>
              <w:rPr>
                <w:rFonts w:ascii="Arial" w:hAnsi="Arial" w:hint="default"/>
                <w:sz w:val="16"/>
                <w:szCs w:val="16"/>
                <w:u w:color="000000"/>
                <w:shd w:val="nil" w:color="auto" w:fill="auto"/>
                <w:rtl w:val="0"/>
                <w:lang w:val="en-US"/>
              </w:rPr>
              <w:t>³</w:t>
            </w:r>
            <w:r>
              <w:rPr>
                <w:rFonts w:ascii="Arial" w:hAnsi="Arial"/>
                <w:sz w:val="16"/>
                <w:szCs w:val="16"/>
                <w:u w:color="000000"/>
                <w:shd w:val="nil" w:color="auto" w:fill="auto"/>
                <w:rtl w:val="0"/>
                <w:lang w:val="en-US"/>
              </w:rPr>
              <w:t>,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Derived from valence/defect interpretations; process dependent</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Resistivity (Reactively Sputtered Thin Films, ~100 nm)</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2-10 m</w:t>
            </w:r>
            <w:r>
              <w:rPr>
                <w:rFonts w:ascii="Arial" w:hAnsi="Arial" w:hint="default"/>
                <w:sz w:val="16"/>
                <w:szCs w:val="16"/>
                <w:u w:color="000000"/>
                <w:shd w:val="nil" w:color="auto" w:fill="auto"/>
                <w:rtl w:val="0"/>
                <w:lang w:val="en-US"/>
              </w:rPr>
              <w:t>Ω·</w:t>
            </w:r>
            <w:r>
              <w:rPr>
                <w:rFonts w:ascii="Arial" w:hAnsi="Arial"/>
                <w:sz w:val="16"/>
                <w:szCs w:val="16"/>
                <w:u w:color="000000"/>
                <w:shd w:val="nil" w:color="auto" w:fill="auto"/>
                <w:rtl w:val="0"/>
                <w:lang w:val="en-US"/>
              </w:rPr>
              <w:t>cm</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Literature-reported range for reactively sputtered thin films</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i w:val="1"/>
          <w:iCs w:val="1"/>
          <w:sz w:val="17"/>
          <w:szCs w:val="17"/>
          <w:u w:color="000000"/>
          <w:rtl w:val="0"/>
          <w:lang w:val="en-US"/>
        </w:rPr>
        <w:t>Footnote: Thin-film and compacted-sample electrical values depend on porosity, film density, stoichiometry, oxygen content, annealing history, electrode geometry, and measurement method. These values are not guaranteed conductivity values for loose TiON nanopowder.</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3.2 Mechanical Properties</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Literature-Reported Range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Measurement Context</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Nanoindentation Hardness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8-12 GPa,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Deposited or consolidated TiON-rich samples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Elastic Modulus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140-180 GPa,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Deposited or consolidated TiON-rich samples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Fracture Toughness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Not typically measured for nanoparticles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Requires dense body or coating geometry</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i w:val="1"/>
          <w:iCs w:val="1"/>
          <w:sz w:val="17"/>
          <w:szCs w:val="17"/>
          <w:u w:color="000000"/>
          <w:rtl w:val="0"/>
          <w:lang w:val="en-US"/>
        </w:rPr>
        <w:t>Footnote: Hardness and modulus are measured on deposited or consolidated samples. They should not be interpreted as intrinsic powder properties, and they depend on density, substrate, film thickness, residual stress, and test protocol.</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de-DE"/>
          <w14:textFill>
            <w14:solidFill>
              <w14:srgbClr w14:val="245E46"/>
            </w14:solidFill>
          </w14:textFill>
        </w:rPr>
        <w:t>3.3 Wetting Properties</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Literature-Reported Range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Measurement Context</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Static Contact Angle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60-75</w:t>
            </w:r>
            <w:r>
              <w:rPr>
                <w:rFonts w:ascii="Arial" w:hAnsi="Arial" w:hint="default"/>
                <w:sz w:val="16"/>
                <w:szCs w:val="16"/>
                <w:u w:color="000000"/>
                <w:shd w:val="nil" w:color="auto" w:fill="auto"/>
                <w:rtl w:val="0"/>
                <w:lang w:val="en-US"/>
              </w:rPr>
              <w:t>°</w:t>
            </w:r>
            <w:r>
              <w:rPr>
                <w:rFonts w:ascii="Arial" w:hAnsi="Arial"/>
                <w:sz w:val="16"/>
                <w:szCs w:val="16"/>
                <w:u w:color="000000"/>
                <w:shd w:val="nil" w:color="auto" w:fill="auto"/>
                <w:rtl w:val="0"/>
                <w:lang w:val="en-US"/>
              </w:rPr>
              <w:t>, representative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Deposited or pressed TiON-rich samples</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i w:val="1"/>
          <w:iCs w:val="1"/>
          <w:sz w:val="17"/>
          <w:szCs w:val="17"/>
          <w:u w:color="000000"/>
          <w:rtl w:val="0"/>
          <w:lang w:val="en-US"/>
        </w:rPr>
        <w:t>Footnote: Contact-angle values are measured on defined surfaces or pressed bodies. They are not intrinsic loose-powder properties and depend on substrate, surface roughness, ligand residue, and oxidation state.</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en-US"/>
          <w14:textFill>
            <w14:solidFill>
              <w14:srgbClr w14:val="17365D"/>
            </w14:solidFill>
          </w14:textFill>
        </w:rPr>
        <w:t>4. Representative Literature Demonstrations (Non-Intrinsic Product Data)</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de-DE"/>
          <w14:textFill>
            <w14:solidFill>
              <w14:srgbClr w14:val="245E46"/>
            </w14:solidFill>
          </w14:textFill>
        </w:rPr>
        <w:t>Literature Demonstration Data</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Values in this section are derived from literature-reported device architectures or composite systems and are not guaranteed intrinsic properties of standalone TiON nanoparticles.</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These examples are included to orient research and application development only. Performance depends on electrode architecture, catalyst loading, substrate, film formation method, electrolyte, illumination, binder chemistry, and measurement protocol.</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4.1 Electrochemical Energy-Storage Demonstrations</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Literature Demonstration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Reported Performance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Representative Conditions</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Carbon-fiber-network / TiON composite electrode (CFN-TiON)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373 mF/g specific capacitance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0.5 A/g; 0.1 M LiClO</w:t>
            </w:r>
            <w:r>
              <w:rPr>
                <w:rFonts w:ascii="Arial Unicode MS" w:cs="Arial Unicode MS" w:hAnsi="Arial Unicode MS" w:eastAsia="Arial Unicode MS" w:hint="default"/>
                <w:b w:val="0"/>
                <w:bCs w:val="0"/>
                <w:i w:val="0"/>
                <w:iCs w:val="0"/>
                <w:sz w:val="16"/>
                <w:szCs w:val="16"/>
                <w:u w:color="000000"/>
                <w:shd w:val="nil" w:color="auto" w:fill="auto"/>
                <w:rtl w:val="0"/>
                <w:lang w:val="en-US"/>
              </w:rPr>
              <w:t>₄</w:t>
            </w:r>
            <w:r>
              <w:rPr>
                <w:rFonts w:ascii="Arial" w:hAnsi="Arial"/>
                <w:sz w:val="16"/>
                <w:szCs w:val="16"/>
                <w:u w:color="000000"/>
                <w:shd w:val="nil" w:color="auto" w:fill="auto"/>
                <w:rtl w:val="0"/>
                <w:lang w:val="en-US"/>
              </w:rPr>
              <w:t xml:space="preserve"> </w:t>
            </w:r>
            <w:r>
              <w:rPr>
                <w:rFonts w:ascii="Arial" w:hAnsi="Arial"/>
                <w:sz w:val="16"/>
                <w:szCs w:val="16"/>
                <w:u w:color="000000"/>
                <w:shd w:val="nil" w:color="auto" w:fill="auto"/>
                <w:rtl w:val="0"/>
                <w:lang w:val="en-US"/>
              </w:rPr>
              <w:t>in EMIM TFSI</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CNT-TiON composite electrode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187 F/g specific capacitance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0.5 A/g; ionic-liquid electrolyte system</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Cycle stability in composite electrode format</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&gt;95% retention after 10,000 cycles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Voltage window and electrode design as reported in source literature</w:t>
            </w:r>
          </w:p>
        </w:tc>
      </w:tr>
      <w:tr>
        <w:tblPrEx>
          <w:shd w:val="clear" w:color="auto" w:fill="ced7e7"/>
        </w:tblPrEx>
        <w:trPr>
          <w:trHeight w:val="400"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Comparative carbon or TiO</w:t>
            </w:r>
            <w:r>
              <w:rPr>
                <w:rFonts w:ascii="Arial Unicode MS" w:cs="Arial Unicode MS" w:hAnsi="Arial Unicode MS" w:eastAsia="Arial Unicode MS" w:hint="default"/>
                <w:b w:val="0"/>
                <w:bCs w:val="0"/>
                <w:i w:val="0"/>
                <w:iCs w:val="0"/>
                <w:sz w:val="16"/>
                <w:szCs w:val="16"/>
                <w:u w:color="000000"/>
                <w:shd w:val="nil" w:color="auto" w:fill="auto"/>
                <w:rtl w:val="0"/>
                <w:lang w:val="en-US"/>
              </w:rPr>
              <w:t>₂</w:t>
            </w:r>
            <w:r>
              <w:rPr>
                <w:rFonts w:ascii="Arial" w:hAnsi="Arial"/>
                <w:b w:val="1"/>
                <w:bCs w:val="1"/>
                <w:sz w:val="16"/>
                <w:szCs w:val="16"/>
                <w:u w:color="000000"/>
                <w:shd w:val="nil" w:color="auto" w:fill="auto"/>
                <w:rtl w:val="0"/>
                <w:lang w:val="en-US"/>
              </w:rPr>
              <w:t>-carbon controls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Reported enhancement in capacitance response under matched architecture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Not transferable to standalone nanoparticle powder</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i w:val="1"/>
          <w:iCs w:val="1"/>
          <w:sz w:val="17"/>
          <w:szCs w:val="17"/>
          <w:u w:color="000000"/>
          <w:rtl w:val="0"/>
          <w:lang w:val="en-US"/>
        </w:rPr>
        <w:t>Footnote: Energy-storage values are literature demonstration data from composite electrode architectures. They are not intrinsic capacitance values for standalone TiON nanoparticles and are not product-release specifications.</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4.2 Photoelectrochemical and Photocatalytic Demonstrations</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Literature Demonstration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Reported Performance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Representative Conditions</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TiON nanotube / film photoelectrode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~6 mA/cm</w:t>
            </w:r>
            <w:r>
              <w:rPr>
                <w:rFonts w:ascii="Arial" w:hAnsi="Arial" w:hint="default"/>
                <w:sz w:val="16"/>
                <w:szCs w:val="16"/>
                <w:u w:color="000000"/>
                <w:shd w:val="nil" w:color="auto" w:fill="auto"/>
                <w:rtl w:val="0"/>
                <w:lang w:val="en-US"/>
              </w:rPr>
              <w:t xml:space="preserve">² </w:t>
            </w:r>
            <w:r>
              <w:rPr>
                <w:rFonts w:ascii="Arial" w:hAnsi="Arial"/>
                <w:sz w:val="16"/>
                <w:szCs w:val="16"/>
                <w:u w:color="000000"/>
                <w:shd w:val="nil" w:color="auto" w:fill="auto"/>
                <w:rtl w:val="0"/>
                <w:lang w:val="en-US"/>
              </w:rPr>
              <w:t>photocurrent density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AM 1.5 G, 100 mW/cm</w:t>
            </w:r>
            <w:r>
              <w:rPr>
                <w:rFonts w:ascii="Arial" w:hAnsi="Arial" w:hint="default"/>
                <w:sz w:val="16"/>
                <w:szCs w:val="16"/>
                <w:u w:color="000000"/>
                <w:shd w:val="nil" w:color="auto" w:fill="auto"/>
                <w:rtl w:val="0"/>
                <w:lang w:val="en-US"/>
              </w:rPr>
              <w:t>²</w:t>
            </w:r>
            <w:r>
              <w:rPr>
                <w:rFonts w:ascii="Arial" w:hAnsi="Arial"/>
                <w:sz w:val="16"/>
                <w:szCs w:val="16"/>
                <w:u w:color="000000"/>
                <w:shd w:val="nil" w:color="auto" w:fill="auto"/>
                <w:rtl w:val="0"/>
                <w:lang w:val="en-US"/>
              </w:rPr>
              <w:t>, reported device geometry</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Ag-decorated TiON-based photoelectrode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~14 mA/cm</w:t>
            </w:r>
            <w:r>
              <w:rPr>
                <w:rFonts w:ascii="Arial" w:hAnsi="Arial" w:hint="default"/>
                <w:sz w:val="16"/>
                <w:szCs w:val="16"/>
                <w:u w:color="000000"/>
                <w:shd w:val="nil" w:color="auto" w:fill="auto"/>
                <w:rtl w:val="0"/>
                <w:lang w:val="en-US"/>
              </w:rPr>
              <w:t xml:space="preserve">² </w:t>
            </w:r>
            <w:r>
              <w:rPr>
                <w:rFonts w:ascii="Arial" w:hAnsi="Arial"/>
                <w:sz w:val="16"/>
                <w:szCs w:val="16"/>
                <w:u w:color="000000"/>
                <w:shd w:val="nil" w:color="auto" w:fill="auto"/>
                <w:rtl w:val="0"/>
                <w:lang w:val="en-US"/>
              </w:rPr>
              <w:t>photocurrent density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Ag-decorated architecture under reported illumination and electrolyte conditions</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Visible-light response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400-600 nm response range reported in selected architectures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Depends on phase, surface oxidation, and electrode preparation</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Incident photon-to-current efficiency (IPCE)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15-25% at 420 nm in selected reports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Device-architecture dependent</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i w:val="1"/>
          <w:iCs w:val="1"/>
          <w:sz w:val="17"/>
          <w:szCs w:val="17"/>
          <w:u w:color="000000"/>
          <w:rtl w:val="0"/>
          <w:lang w:val="en-US"/>
        </w:rPr>
        <w:t>Footnote: Photoelectrochemical and photocatalytic values are literature demonstration data from nanotube, film, decorated, or device-specific systems. They should not be used as intrinsic optical or catalytic specifications for TiON nanopowder.</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4.3 Catalysis, Coating, and Tribology Demonstrations</w:t>
      </w:r>
    </w:p>
    <w:tbl>
      <w:tblPr>
        <w:tblW w:w="1044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215"/>
        <w:gridCol w:w="3747"/>
        <w:gridCol w:w="3482"/>
      </w:tblGrid>
      <w:tr>
        <w:tblPrEx>
          <w:shd w:val="clear" w:color="auto" w:fill="ced7e7"/>
        </w:tblPrEx>
        <w:trPr>
          <w:trHeight w:val="204" w:hRule="atLeast"/>
        </w:trPr>
        <w:tc>
          <w:tcPr>
            <w:tcW w:type="dxa" w:w="32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Literature Demonstration</w:t>
            </w:r>
          </w:p>
        </w:tc>
        <w:tc>
          <w:tcPr>
            <w:tcW w:type="dxa" w:w="37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Reported Observation</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Representative Context</w:t>
            </w:r>
          </w:p>
        </w:tc>
      </w:tr>
      <w:tr>
        <w:tblPrEx>
          <w:shd w:val="clear" w:color="auto" w:fill="ced7e7"/>
        </w:tblPrEx>
        <w:trPr>
          <w:trHeight w:val="374" w:hRule="atLeast"/>
        </w:trPr>
        <w:tc>
          <w:tcPr>
            <w:tcW w:type="dxa" w:w="32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Ir-supported TiON high-surface-area support</w:t>
            </w:r>
          </w:p>
        </w:tc>
        <w:tc>
          <w:tcPr>
            <w:tcW w:type="dxa" w:w="37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Conductive catalyst-support behavior reported for oxygen evolution reaction studies</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Catalyst-loaded support, not bare TiON nanopowder</w:t>
            </w:r>
          </w:p>
        </w:tc>
      </w:tr>
      <w:tr>
        <w:tblPrEx>
          <w:shd w:val="clear" w:color="auto" w:fill="ced7e7"/>
        </w:tblPrEx>
        <w:trPr>
          <w:trHeight w:val="374" w:hRule="atLeast"/>
        </w:trPr>
        <w:tc>
          <w:tcPr>
            <w:tcW w:type="dxa" w:w="32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Nitrogen-reduction / fuel-cell-related catalysis studies</w:t>
            </w:r>
          </w:p>
        </w:tc>
        <w:tc>
          <w:tcPr>
            <w:tcW w:type="dxa" w:w="37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Preliminary catalytic behavior reported under specific architectures</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Strongly dependent on catalyst, support, electrolyte, and bias protocol</w:t>
            </w:r>
          </w:p>
        </w:tc>
      </w:tr>
      <w:tr>
        <w:tblPrEx>
          <w:shd w:val="clear" w:color="auto" w:fill="ced7e7"/>
        </w:tblPrEx>
        <w:trPr>
          <w:trHeight w:val="374" w:hRule="atLeast"/>
        </w:trPr>
        <w:tc>
          <w:tcPr>
            <w:tcW w:type="dxa" w:w="32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Plasma-nitrided titanium surface</w:t>
            </w:r>
          </w:p>
        </w:tc>
        <w:tc>
          <w:tcPr>
            <w:tcW w:type="dxa" w:w="37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766 HV hardness reported at 0.05 N load</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Plasma-treated surface; not a nanoparticle property</w:t>
            </w:r>
          </w:p>
        </w:tc>
      </w:tr>
      <w:tr>
        <w:tblPrEx>
          <w:shd w:val="clear" w:color="auto" w:fill="ced7e7"/>
        </w:tblPrEx>
        <w:trPr>
          <w:trHeight w:val="374" w:hRule="atLeast"/>
        </w:trPr>
        <w:tc>
          <w:tcPr>
            <w:tcW w:type="dxa" w:w="32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Tribological coating studies</w:t>
            </w:r>
          </w:p>
        </w:tc>
        <w:tc>
          <w:tcPr>
            <w:tcW w:type="dxa" w:w="37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Friction reduction reported relative to selected untreated or reference surfaces</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Coating/substrate/test-geometry dependent</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i w:val="1"/>
          <w:iCs w:val="1"/>
          <w:sz w:val="17"/>
          <w:szCs w:val="17"/>
          <w:u w:color="000000"/>
          <w:rtl w:val="0"/>
          <w:lang w:val="en-US"/>
        </w:rPr>
        <w:t>Footnote: Catalytic, hardness, and tribology entries are literature application demonstrations. Plasma-nitrided-surface hardness and friction behavior are not intrinsic TiON nanoparticle properties and are not product specifications.</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en-US"/>
          <w14:textFill>
            <w14:solidFill>
              <w14:srgbClr w14:val="17365D"/>
            </w14:solidFill>
          </w14:textFill>
        </w:rPr>
        <w:t>5. RESEARCH APPLICATION FIT</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The material is best treated as an emerging, tunable TiN/TiO</w:t>
      </w:r>
      <w:r>
        <w:rPr>
          <w:rFonts w:ascii="Arial Unicode MS" w:cs="Arial Unicode MS" w:hAnsi="Arial Unicode MS" w:eastAsia="Arial Unicode MS" w:hint="default"/>
          <w:b w:val="0"/>
          <w:bCs w:val="0"/>
          <w:i w:val="0"/>
          <w:iCs w:val="0"/>
          <w:sz w:val="18"/>
          <w:szCs w:val="18"/>
          <w:u w:color="000000"/>
          <w:rtl w:val="0"/>
        </w:rPr>
        <w:t>₂</w:t>
      </w:r>
      <w:r>
        <w:rPr>
          <w:rFonts w:ascii="Arial" w:hAnsi="Arial"/>
          <w:sz w:val="18"/>
          <w:szCs w:val="18"/>
          <w:u w:color="000000"/>
          <w:rtl w:val="0"/>
          <w:lang w:val="en-US"/>
        </w:rPr>
        <w:t>-intermediate functional nanomaterial. Suitable research and development directions include:</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Absorptive optical coatings and conductive dark coatings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Solar-selective and photothermal coating studies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Tunable optical-functional material development</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Electrochemical composite electrodes and catalyst-support formulations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Specialty thin-film, compacted pellet, and hybrid coating studies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Surface-passivation, oxidation-resistance, and mixed-valence titanium chemistry research</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Applications requiring high optical transmission and low sheet resistance require independent qualification; the current positioning is absorptive and dark-coating functionality.</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de-DE"/>
          <w14:textFill>
            <w14:solidFill>
              <w14:srgbClr w14:val="17365D"/>
            </w14:solidFill>
          </w14:textFill>
        </w:rPr>
        <w:t>6. SYNTHESIS AND PROCESSING BASIS</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14:textFill>
            <w14:solidFill>
              <w14:srgbClr w14:val="245E46"/>
            </w14:solidFill>
          </w14:textFill>
        </w:rPr>
        <w:t>6.1 Low-Temperature Colloidal Synthesis Route</w:t>
      </w:r>
    </w:p>
    <w:tbl>
      <w:tblPr>
        <w:tblW w:w="1045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227"/>
        <w:gridCol w:w="5227"/>
      </w:tblGrid>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Parameter</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 Representative Description</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Process</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Low-temperature colloidal synthesis</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Nominal Reaction Temperature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~250</w:t>
            </w:r>
            <w:r>
              <w:rPr>
                <w:rFonts w:ascii="Arial" w:hAnsi="Arial" w:hint="default"/>
                <w:sz w:val="17"/>
                <w:szCs w:val="17"/>
                <w:u w:color="000000"/>
                <w:shd w:val="nil" w:color="auto" w:fill="auto"/>
                <w:rtl w:val="0"/>
                <w:lang w:val="en-US"/>
              </w:rPr>
              <w:t>°</w:t>
            </w:r>
            <w:r>
              <w:rPr>
                <w:rFonts w:ascii="Arial" w:hAnsi="Arial"/>
                <w:sz w:val="17"/>
                <w:szCs w:val="17"/>
                <w:u w:color="000000"/>
                <w:shd w:val="nil" w:color="auto" w:fill="auto"/>
                <w:rtl w:val="0"/>
                <w:lang w:val="en-US"/>
              </w:rPr>
              <w:t>C</w:t>
            </w:r>
          </w:p>
        </w:tc>
      </w:tr>
      <w:tr>
        <w:tblPrEx>
          <w:shd w:val="clear" w:color="auto" w:fill="ced7e7"/>
        </w:tblPrEx>
        <w:trPr>
          <w:trHeight w:val="230"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Titanium Precursor</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TiF</w:t>
            </w:r>
            <w:r>
              <w:rPr>
                <w:rFonts w:ascii="Arial Unicode MS" w:cs="Arial Unicode MS" w:hAnsi="Arial Unicode MS" w:eastAsia="Arial Unicode MS" w:hint="default"/>
                <w:b w:val="0"/>
                <w:bCs w:val="0"/>
                <w:i w:val="0"/>
                <w:iCs w:val="0"/>
                <w:sz w:val="17"/>
                <w:szCs w:val="17"/>
                <w:u w:color="000000"/>
                <w:shd w:val="nil" w:color="auto" w:fill="auto"/>
                <w:rtl w:val="0"/>
                <w:lang w:val="en-US"/>
              </w:rPr>
              <w:t>₄</w:t>
            </w:r>
          </w:p>
        </w:tc>
      </w:tr>
      <w:tr>
        <w:tblPrEx>
          <w:shd w:val="clear" w:color="auto" w:fill="ced7e7"/>
        </w:tblPrEx>
        <w:trPr>
          <w:trHeight w:val="230"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Nitrogen Precursor</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Li</w:t>
            </w:r>
            <w:r>
              <w:rPr>
                <w:rFonts w:ascii="Arial Unicode MS" w:cs="Arial Unicode MS" w:hAnsi="Arial Unicode MS" w:eastAsia="Arial Unicode MS" w:hint="default"/>
                <w:b w:val="0"/>
                <w:bCs w:val="0"/>
                <w:i w:val="0"/>
                <w:iCs w:val="0"/>
                <w:sz w:val="17"/>
                <w:szCs w:val="17"/>
                <w:u w:color="000000"/>
                <w:shd w:val="nil" w:color="auto" w:fill="auto"/>
                <w:rtl w:val="0"/>
                <w:lang w:val="en-US"/>
              </w:rPr>
              <w:t>₃</w:t>
            </w:r>
            <w:r>
              <w:rPr>
                <w:rFonts w:ascii="Arial" w:hAnsi="Arial"/>
                <w:sz w:val="17"/>
                <w:szCs w:val="17"/>
                <w:u w:color="000000"/>
                <w:shd w:val="nil" w:color="auto" w:fill="auto"/>
                <w:rtl w:val="0"/>
                <w:lang w:val="en-US"/>
              </w:rPr>
              <w:t>N</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Solvent / Coordinating Medium</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TOPO (trioctylphosphine oxide)</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Stabilizers / Structure Directors</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TOPO primary stabilization; CTAB secondary stabilization</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Atmosphere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Nitrogen with controlled oxygen exposure during synthesis</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Typical Reaction Time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~2 hours</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Process Scale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Laboratory batch; early commercial scale development</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6.2 Purification and Isolation</w:t>
      </w:r>
    </w:p>
    <w:tbl>
      <w:tblPr>
        <w:tblW w:w="1044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33"/>
        <w:gridCol w:w="3339"/>
        <w:gridCol w:w="6172"/>
      </w:tblGrid>
      <w:tr>
        <w:tblPrEx>
          <w:shd w:val="clear" w:color="auto" w:fill="ced7e7"/>
        </w:tblPrEx>
        <w:trPr>
          <w:trHeight w:val="204" w:hRule="atLeast"/>
        </w:trPr>
        <w:tc>
          <w:tcPr>
            <w:tcW w:type="dxa" w:w="9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Step</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Process</w:t>
            </w:r>
          </w:p>
        </w:tc>
        <w:tc>
          <w:tcPr>
            <w:tcW w:type="dxa" w:w="61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Representative Detail</w:t>
            </w:r>
          </w:p>
        </w:tc>
      </w:tr>
      <w:tr>
        <w:tblPrEx>
          <w:shd w:val="clear" w:color="auto" w:fill="ced7e7"/>
        </w:tblPrEx>
        <w:trPr>
          <w:trHeight w:val="185" w:hRule="atLeast"/>
        </w:trPr>
        <w:tc>
          <w:tcPr>
            <w:tcW w:type="dxa" w:w="9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1</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Precipitation</w:t>
            </w:r>
          </w:p>
        </w:tc>
        <w:tc>
          <w:tcPr>
            <w:tcW w:type="dxa" w:w="61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Methanol addition to cooled dispersion to flocculate black precipitate</w:t>
            </w:r>
          </w:p>
        </w:tc>
      </w:tr>
      <w:tr>
        <w:tblPrEx>
          <w:shd w:val="clear" w:color="auto" w:fill="ced7e7"/>
        </w:tblPrEx>
        <w:trPr>
          <w:trHeight w:val="185" w:hRule="atLeast"/>
        </w:trPr>
        <w:tc>
          <w:tcPr>
            <w:tcW w:type="dxa" w:w="9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2</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Centrifugation</w:t>
            </w:r>
          </w:p>
        </w:tc>
        <w:tc>
          <w:tcPr>
            <w:tcW w:type="dxa" w:w="61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Initial separation followed by repeated purification cycles</w:t>
            </w:r>
          </w:p>
        </w:tc>
      </w:tr>
      <w:tr>
        <w:tblPrEx>
          <w:shd w:val="clear" w:color="auto" w:fill="ced7e7"/>
        </w:tblPrEx>
        <w:trPr>
          <w:trHeight w:val="185" w:hRule="atLeast"/>
        </w:trPr>
        <w:tc>
          <w:tcPr>
            <w:tcW w:type="dxa" w:w="9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3</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Redispersion</w:t>
            </w:r>
          </w:p>
        </w:tc>
        <w:tc>
          <w:tcPr>
            <w:tcW w:type="dxa" w:w="61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DI water or suitable solvent with sonication/agitation</w:t>
            </w:r>
          </w:p>
        </w:tc>
      </w:tr>
      <w:tr>
        <w:tblPrEx>
          <w:shd w:val="clear" w:color="auto" w:fill="ced7e7"/>
        </w:tblPrEx>
        <w:trPr>
          <w:trHeight w:val="185" w:hRule="atLeast"/>
        </w:trPr>
        <w:tc>
          <w:tcPr>
            <w:tcW w:type="dxa" w:w="9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4</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Wash Cycle Repeat</w:t>
            </w:r>
          </w:p>
        </w:tc>
        <w:tc>
          <w:tcPr>
            <w:tcW w:type="dxa" w:w="61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Multiple cycles to reduce salts and organic residues</w:t>
            </w:r>
          </w:p>
        </w:tc>
      </w:tr>
      <w:tr>
        <w:tblPrEx>
          <w:shd w:val="clear" w:color="auto" w:fill="ced7e7"/>
        </w:tblPrEx>
        <w:trPr>
          <w:trHeight w:val="185" w:hRule="atLeast"/>
        </w:trPr>
        <w:tc>
          <w:tcPr>
            <w:tcW w:type="dxa" w:w="9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5</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Final Drying</w:t>
            </w:r>
          </w:p>
        </w:tc>
        <w:tc>
          <w:tcPr>
            <w:tcW w:type="dxa" w:w="61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Vacuum drying or controlled solvent removal</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6.3 Manufacturing Notes</w:t>
      </w:r>
    </w:p>
    <w:tbl>
      <w:tblPr>
        <w:tblW w:w="1044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241"/>
        <w:gridCol w:w="6203"/>
      </w:tblGrid>
      <w:tr>
        <w:tblPrEx>
          <w:shd w:val="clear" w:color="auto" w:fill="ced7e7"/>
        </w:tblPrEx>
        <w:trPr>
          <w:trHeight w:val="204" w:hRule="atLeast"/>
        </w:trPr>
        <w:tc>
          <w:tcPr>
            <w:tcW w:type="dxa" w:w="42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Parameter</w:t>
            </w:r>
          </w:p>
        </w:tc>
        <w:tc>
          <w:tcPr>
            <w:tcW w:type="dxa" w:w="6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Representative Value / Comment</w:t>
            </w:r>
          </w:p>
        </w:tc>
      </w:tr>
      <w:tr>
        <w:tblPrEx>
          <w:shd w:val="clear" w:color="auto" w:fill="ced7e7"/>
        </w:tblPrEx>
        <w:trPr>
          <w:trHeight w:val="204" w:hRule="atLeast"/>
        </w:trPr>
        <w:tc>
          <w:tcPr>
            <w:tcW w:type="dxa" w:w="42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Typical Yield</w:t>
            </w:r>
          </w:p>
        </w:tc>
        <w:tc>
          <w:tcPr>
            <w:tcW w:type="dxa" w:w="6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~12-15 wt % based on titanium precursor</w:t>
            </w:r>
          </w:p>
        </w:tc>
      </w:tr>
      <w:tr>
        <w:tblPrEx>
          <w:shd w:val="clear" w:color="auto" w:fill="ced7e7"/>
        </w:tblPrEx>
        <w:trPr>
          <w:trHeight w:val="204" w:hRule="atLeast"/>
        </w:trPr>
        <w:tc>
          <w:tcPr>
            <w:tcW w:type="dxa" w:w="42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Batch-to-Batch Variation</w:t>
            </w:r>
          </w:p>
        </w:tc>
        <w:tc>
          <w:tcPr>
            <w:tcW w:type="dxa" w:w="6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Typically 8-12% for early-stage laboratory batches</w:t>
            </w:r>
          </w:p>
        </w:tc>
      </w:tr>
      <w:tr>
        <w:tblPrEx>
          <w:shd w:val="clear" w:color="auto" w:fill="ced7e7"/>
        </w:tblPrEx>
        <w:trPr>
          <w:trHeight w:val="204" w:hRule="atLeast"/>
        </w:trPr>
        <w:tc>
          <w:tcPr>
            <w:tcW w:type="dxa" w:w="42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Scale-Up Status</w:t>
            </w:r>
          </w:p>
        </w:tc>
        <w:tc>
          <w:tcPr>
            <w:tcW w:type="dxa" w:w="6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Estimated pilot-scale feasibility requires process validation</w:t>
            </w:r>
          </w:p>
        </w:tc>
      </w:tr>
      <w:tr>
        <w:tblPrEx>
          <w:shd w:val="clear" w:color="auto" w:fill="ced7e7"/>
        </w:tblPrEx>
        <w:trPr>
          <w:trHeight w:val="230" w:hRule="atLeast"/>
        </w:trPr>
        <w:tc>
          <w:tcPr>
            <w:tcW w:type="dxa" w:w="42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Cost Drivers</w:t>
            </w:r>
          </w:p>
        </w:tc>
        <w:tc>
          <w:tcPr>
            <w:tcW w:type="dxa" w:w="6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TOPO, Li</w:t>
            </w:r>
            <w:r>
              <w:rPr>
                <w:rFonts w:ascii="Arial Unicode MS" w:cs="Arial Unicode MS" w:hAnsi="Arial Unicode MS" w:eastAsia="Arial Unicode MS" w:hint="default"/>
                <w:b w:val="0"/>
                <w:bCs w:val="0"/>
                <w:i w:val="0"/>
                <w:iCs w:val="0"/>
                <w:sz w:val="17"/>
                <w:szCs w:val="17"/>
                <w:u w:color="000000"/>
                <w:shd w:val="nil" w:color="auto" w:fill="auto"/>
                <w:rtl w:val="0"/>
                <w:lang w:val="en-US"/>
              </w:rPr>
              <w:t>₃</w:t>
            </w:r>
            <w:r>
              <w:rPr>
                <w:rFonts w:ascii="Arial" w:hAnsi="Arial"/>
                <w:sz w:val="17"/>
                <w:szCs w:val="17"/>
                <w:u w:color="000000"/>
                <w:shd w:val="nil" w:color="auto" w:fill="auto"/>
                <w:rtl w:val="0"/>
                <w:lang w:val="en-US"/>
              </w:rPr>
              <w:t>N, purification solvent use, and inert-atmosphere handling</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en-US"/>
          <w14:textFill>
            <w14:solidFill>
              <w14:srgbClr w14:val="17365D"/>
            </w14:solidFill>
          </w14:textFill>
        </w:rPr>
        <w:t>7. SAFETY AND HEALTH INFORMATION</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7.1 Preliminary Hazard Assessment</w:t>
      </w:r>
    </w:p>
    <w:tbl>
      <w:tblPr>
        <w:tblW w:w="10443"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960"/>
        <w:gridCol w:w="3974"/>
        <w:gridCol w:w="4509"/>
      </w:tblGrid>
      <w:tr>
        <w:tblPrEx>
          <w:shd w:val="clear" w:color="auto" w:fill="ced7e7"/>
        </w:tblPrEx>
        <w:trPr>
          <w:trHeight w:val="204" w:hRule="atLeast"/>
        </w:trPr>
        <w:tc>
          <w:tcPr>
            <w:tcW w:type="dxa" w:w="1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Hazard Area</w:t>
            </w:r>
          </w:p>
        </w:tc>
        <w:tc>
          <w:tcPr>
            <w:tcW w:type="dxa" w:w="3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Preliminary Assessment</w:t>
            </w:r>
          </w:p>
        </w:tc>
        <w:tc>
          <w:tcPr>
            <w:tcW w:type="dxa" w:w="45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Handling Implication</w:t>
            </w:r>
          </w:p>
        </w:tc>
      </w:tr>
      <w:tr>
        <w:tblPrEx>
          <w:shd w:val="clear" w:color="auto" w:fill="ced7e7"/>
        </w:tblPrEx>
        <w:trPr>
          <w:trHeight w:val="185" w:hRule="atLeast"/>
        </w:trPr>
        <w:tc>
          <w:tcPr>
            <w:tcW w:type="dxa" w:w="1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Oral Toxicity</w:t>
            </w:r>
          </w:p>
        </w:tc>
        <w:tc>
          <w:tcPr>
            <w:tcW w:type="dxa" w:w="3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Limited product-specific data available</w:t>
            </w:r>
          </w:p>
        </w:tc>
        <w:tc>
          <w:tcPr>
            <w:tcW w:type="dxa" w:w="45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Do not ingest; use standard laboratory hygiene</w:t>
            </w:r>
          </w:p>
        </w:tc>
      </w:tr>
      <w:tr>
        <w:tblPrEx>
          <w:shd w:val="clear" w:color="auto" w:fill="ced7e7"/>
        </w:tblPrEx>
        <w:trPr>
          <w:trHeight w:val="374" w:hRule="atLeast"/>
        </w:trPr>
        <w:tc>
          <w:tcPr>
            <w:tcW w:type="dxa" w:w="1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Inhalation</w:t>
            </w:r>
          </w:p>
        </w:tc>
        <w:tc>
          <w:tcPr>
            <w:tcW w:type="dxa" w:w="3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Nanoscale powders may present inhalation hazards</w:t>
            </w:r>
          </w:p>
        </w:tc>
        <w:tc>
          <w:tcPr>
            <w:tcW w:type="dxa" w:w="45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Avoid aerosol generation; handle powders in a hood or enclosure</w:t>
            </w:r>
          </w:p>
        </w:tc>
      </w:tr>
      <w:tr>
        <w:tblPrEx>
          <w:shd w:val="clear" w:color="auto" w:fill="ced7e7"/>
        </w:tblPrEx>
        <w:trPr>
          <w:trHeight w:val="185" w:hRule="atLeast"/>
        </w:trPr>
        <w:tc>
          <w:tcPr>
            <w:tcW w:type="dxa" w:w="1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Skin Contact</w:t>
            </w:r>
          </w:p>
        </w:tc>
        <w:tc>
          <w:tcPr>
            <w:tcW w:type="dxa" w:w="3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Product-specific irritation data limited</w:t>
            </w:r>
          </w:p>
        </w:tc>
        <w:tc>
          <w:tcPr>
            <w:tcW w:type="dxa" w:w="45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Wear gloves; avoid prolonged contact</w:t>
            </w:r>
          </w:p>
        </w:tc>
      </w:tr>
      <w:tr>
        <w:tblPrEx>
          <w:shd w:val="clear" w:color="auto" w:fill="ced7e7"/>
        </w:tblPrEx>
        <w:trPr>
          <w:trHeight w:val="185" w:hRule="atLeast"/>
        </w:trPr>
        <w:tc>
          <w:tcPr>
            <w:tcW w:type="dxa" w:w="1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Eye Contact</w:t>
            </w:r>
          </w:p>
        </w:tc>
        <w:tc>
          <w:tcPr>
            <w:tcW w:type="dxa" w:w="3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Fine particles may cause mechanical irritation</w:t>
            </w:r>
          </w:p>
        </w:tc>
        <w:tc>
          <w:tcPr>
            <w:tcW w:type="dxa" w:w="45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Wear safety glasses or goggles</w:t>
            </w:r>
          </w:p>
        </w:tc>
      </w:tr>
      <w:tr>
        <w:tblPrEx>
          <w:shd w:val="clear" w:color="auto" w:fill="ced7e7"/>
        </w:tblPrEx>
        <w:trPr>
          <w:trHeight w:val="185" w:hRule="atLeast"/>
        </w:trPr>
        <w:tc>
          <w:tcPr>
            <w:tcW w:type="dxa" w:w="19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Environmental Release</w:t>
            </w:r>
          </w:p>
        </w:tc>
        <w:tc>
          <w:tcPr>
            <w:tcW w:type="dxa" w:w="3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Nanomaterial-specific fate data limited</w:t>
            </w:r>
          </w:p>
        </w:tc>
        <w:tc>
          <w:tcPr>
            <w:tcW w:type="dxa" w:w="45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Prevent release to drains or open environment</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This preliminary assessment is not a formal toxicology certification. Users should perform application- and jurisdiction-specific safety assessments before scale-up or commercial use.</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Nanoscale powders may present inhalation hazards; avoid aerosol generation.</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7.2 Safe Handling Recommendations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Use lab coat, nitrile gloves, and safety glasses for routine handling.</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Use respiratory protection appropriate to the task when dry powder handling may generate aerosols.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Handle dry powder in a ventilated enclosure or fume hood.</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Avoid dust generation, uncontrolled sonication aerosol, and open transfer of dry nanopowder.</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Dispose of waste according to local nanomaterial and titanium-compound waste requirements.</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7.3 First Aid</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Inhalation:</w:t>
      </w:r>
      <w:r>
        <w:rPr>
          <w:rFonts w:ascii="Arial" w:hAnsi="Arial"/>
          <w:sz w:val="18"/>
          <w:szCs w:val="18"/>
          <w:u w:color="000000"/>
          <w:rtl w:val="0"/>
          <w:lang w:val="en-US"/>
        </w:rPr>
        <w:t xml:space="preserve"> Move to fresh air; seek medical attention if respiratory symptoms occur.</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Eye Contact:</w:t>
      </w:r>
      <w:r>
        <w:rPr>
          <w:rFonts w:ascii="Arial" w:hAnsi="Arial"/>
          <w:sz w:val="18"/>
          <w:szCs w:val="18"/>
          <w:u w:color="000000"/>
          <w:rtl w:val="0"/>
          <w:lang w:val="en-US"/>
        </w:rPr>
        <w:t xml:space="preserve"> Rinse with water for at least 15 minutes; seek medical attention if irritation persists.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Skin Contact:</w:t>
      </w:r>
      <w:r>
        <w:rPr>
          <w:rFonts w:ascii="Arial" w:hAnsi="Arial"/>
          <w:sz w:val="18"/>
          <w:szCs w:val="18"/>
          <w:u w:color="000000"/>
          <w:rtl w:val="0"/>
          <w:lang w:val="en-US"/>
        </w:rPr>
        <w:t xml:space="preserve"> Wash with soap and water.</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Ingestion:</w:t>
      </w:r>
      <w:r>
        <w:rPr>
          <w:rFonts w:ascii="Arial" w:hAnsi="Arial"/>
          <w:sz w:val="18"/>
          <w:szCs w:val="18"/>
          <w:u w:color="000000"/>
          <w:rtl w:val="0"/>
          <w:lang w:val="en-US"/>
        </w:rPr>
        <w:t xml:space="preserve"> Rinse mouth and seek medical attention.</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en-US"/>
          <w14:textFill>
            <w14:solidFill>
              <w14:srgbClr w14:val="17365D"/>
            </w14:solidFill>
          </w14:textFill>
        </w:rPr>
        <w:t>8. STORAGE, SHELF LIFE, AND PASSIVATION</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8.1 Storage Conditions</w:t>
      </w:r>
    </w:p>
    <w:tbl>
      <w:tblPr>
        <w:tblW w:w="1045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227"/>
        <w:gridCol w:w="5227"/>
      </w:tblGrid>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Parameter</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Recommended Condition</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Temperature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15-25</w:t>
            </w:r>
            <w:r>
              <w:rPr>
                <w:rFonts w:ascii="Arial" w:hAnsi="Arial" w:hint="default"/>
                <w:sz w:val="17"/>
                <w:szCs w:val="17"/>
                <w:u w:color="000000"/>
                <w:shd w:val="nil" w:color="auto" w:fill="auto"/>
                <w:rtl w:val="0"/>
                <w:lang w:val="en-US"/>
              </w:rPr>
              <w:t>°</w:t>
            </w:r>
            <w:r>
              <w:rPr>
                <w:rFonts w:ascii="Arial" w:hAnsi="Arial"/>
                <w:sz w:val="17"/>
                <w:szCs w:val="17"/>
                <w:u w:color="000000"/>
                <w:shd w:val="nil" w:color="auto" w:fill="auto"/>
                <w:rtl w:val="0"/>
                <w:lang w:val="en-US"/>
              </w:rPr>
              <w:t>C for routine storage</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Humidity</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Keep dry; avoid prolonged exposure to high humidity</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Light</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Protect from direct UV/sunlight</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Container</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Sealed glass or HDPE bottle</w:t>
            </w:r>
          </w:p>
        </w:tc>
      </w:tr>
      <w:tr>
        <w:tblPrEx>
          <w:shd w:val="clear" w:color="auto" w:fill="ced7e7"/>
        </w:tblPrEx>
        <w:trPr>
          <w:trHeight w:val="41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Atmosphere</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Air acceptable for short-term handling; nitrogen preferred for long-term storage</w:t>
            </w:r>
          </w:p>
        </w:tc>
      </w:tr>
      <w:tr>
        <w:tblPrEx>
          <w:shd w:val="clear" w:color="auto" w:fill="ced7e7"/>
        </w:tblPrEx>
        <w:trPr>
          <w:trHeight w:val="204" w:hRule="atLeast"/>
        </w:trPr>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Location</w:t>
            </w:r>
          </w:p>
        </w:tc>
        <w:tc>
          <w:tcPr>
            <w:tcW w:type="dxa" w:w="52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Cool, dry storage area away from moisture and reactive chemicals</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8.2 Shelf Life and Stability</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Storage Condition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Representative Shelf-Life Guidance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Expected Observation</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Sealed, room temperature, air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6-12 months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Gradual surface passivation possible</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Sealed, room temperature, nitrogen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18-24 months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Minimal observable oxidation under sealed inert storage</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Sealed, 4</w:t>
            </w:r>
            <w:r>
              <w:rPr>
                <w:rFonts w:ascii="Arial" w:hAnsi="Arial" w:hint="default"/>
                <w:b w:val="1"/>
                <w:bCs w:val="1"/>
                <w:sz w:val="16"/>
                <w:szCs w:val="16"/>
                <w:u w:color="000000"/>
                <w:shd w:val="nil" w:color="auto" w:fill="auto"/>
                <w:rtl w:val="0"/>
                <w:lang w:val="en-US"/>
              </w:rPr>
              <w:t>°</w:t>
            </w:r>
            <w:r>
              <w:rPr>
                <w:rFonts w:ascii="Arial" w:hAnsi="Arial"/>
                <w:b w:val="1"/>
                <w:bCs w:val="1"/>
                <w:sz w:val="16"/>
                <w:szCs w:val="16"/>
                <w:u w:color="000000"/>
                <w:shd w:val="nil" w:color="auto" w:fill="auto"/>
                <w:rtl w:val="0"/>
                <w:lang w:val="en-US"/>
              </w:rPr>
              <w:t>C, nitrogen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&gt;24 months, subject to batch verification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Minimal observable oxidation under sealed inert storage</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Open to air, high humidity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Not recommended for long-term storage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Increased surface oxidation and aggregation risk</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8.3 Oxidation / Passivation Behavior</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Mechanism:</w:t>
      </w:r>
      <w:r>
        <w:rPr>
          <w:rFonts w:ascii="Arial" w:hAnsi="Arial"/>
          <w:sz w:val="18"/>
          <w:szCs w:val="18"/>
          <w:u w:color="000000"/>
          <w:rtl w:val="0"/>
          <w:lang w:val="en-US"/>
        </w:rPr>
        <w:t xml:space="preserve"> Spontaneous formation of a TiO</w:t>
      </w:r>
      <w:r>
        <w:rPr>
          <w:rFonts w:ascii="Arial Unicode MS" w:cs="Arial Unicode MS" w:hAnsi="Arial Unicode MS" w:eastAsia="Arial Unicode MS" w:hint="default"/>
          <w:b w:val="0"/>
          <w:bCs w:val="0"/>
          <w:i w:val="0"/>
          <w:iCs w:val="0"/>
          <w:sz w:val="18"/>
          <w:szCs w:val="18"/>
          <w:u w:color="000000"/>
          <w:rtl w:val="0"/>
          <w:lang w:val="en-US"/>
        </w:rPr>
        <w:t>₂</w:t>
      </w:r>
      <w:r>
        <w:rPr>
          <w:rFonts w:ascii="Arial" w:hAnsi="Arial"/>
          <w:sz w:val="18"/>
          <w:szCs w:val="18"/>
          <w:u w:color="000000"/>
          <w:rtl w:val="0"/>
          <w:lang w:val="en-US"/>
        </w:rPr>
        <w:t>-rich surface layer during air exposure.</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Typical Layer Thickness:</w:t>
      </w:r>
      <w:r>
        <w:rPr>
          <w:rFonts w:ascii="Arial" w:hAnsi="Arial"/>
          <w:sz w:val="18"/>
          <w:szCs w:val="18"/>
          <w:u w:color="000000"/>
          <w:rtl w:val="0"/>
          <w:lang w:val="en-US"/>
        </w:rPr>
        <w:t xml:space="preserve"> ~1-2 nm under ambient conditions.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Timeframe:</w:t>
      </w:r>
      <w:r>
        <w:rPr>
          <w:rFonts w:ascii="Arial" w:hAnsi="Arial"/>
          <w:sz w:val="18"/>
          <w:szCs w:val="18"/>
          <w:u w:color="000000"/>
          <w:rtl w:val="0"/>
          <w:lang w:val="en-US"/>
        </w:rPr>
        <w:t xml:space="preserve"> Often develops over days to weeks depending on humidity, oxygen exposure, and surface ligand coverage.</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Practical Impact:</w:t>
      </w:r>
      <w:r>
        <w:rPr>
          <w:rFonts w:ascii="Arial" w:hAnsi="Arial"/>
          <w:sz w:val="18"/>
          <w:szCs w:val="18"/>
          <w:u w:color="000000"/>
          <w:rtl w:val="0"/>
          <w:lang w:val="en-US"/>
        </w:rPr>
        <w:t xml:space="preserve"> Surface passivation may improve handling stability but can alter electrical, optical, catalytic, and dispersion behavior.</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Reversal:</w:t>
      </w:r>
      <w:r>
        <w:rPr>
          <w:rFonts w:ascii="Arial" w:hAnsi="Arial"/>
          <w:sz w:val="18"/>
          <w:szCs w:val="18"/>
          <w:u w:color="000000"/>
          <w:rtl w:val="0"/>
          <w:lang w:val="en-US"/>
        </w:rPr>
        <w:t xml:space="preserve"> Ambient oxidation is generally not treated as reversible under normal handling conditions.</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en-US"/>
          <w14:textFill>
            <w14:solidFill>
              <w14:srgbClr w14:val="17365D"/>
            </w14:solidFill>
          </w14:textFill>
        </w:rPr>
        <w:t>9. CHARACTERIZATION AND QUALITY CONTROL</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9.1 Recommended Characterization Methods</w:t>
      </w:r>
    </w:p>
    <w:tbl>
      <w:tblPr>
        <w:tblW w:w="1045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85"/>
        <w:gridCol w:w="3485"/>
        <w:gridCol w:w="3485"/>
      </w:tblGrid>
      <w:tr>
        <w:tblPrEx>
          <w:shd w:val="clear" w:color="auto" w:fill="ced7e7"/>
        </w:tblPrEx>
        <w:trPr>
          <w:trHeight w:val="20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Property / Question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Recommended Method</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Output</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Particle Size and Morphology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TEM, STEM, DLS as supporting method</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~65 nm cubic / cube-like primary particles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Crystal Structure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XRD, selected-area electron diffraction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TiON-rich FCC rock-salt phase</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Composition and Atomic Ratio</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XPS, EELS, ICP-MS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 xml:space="preserve">TiO_xN_y; O:N </w:t>
            </w:r>
            <w:r>
              <w:rPr>
                <w:rFonts w:ascii="Arial" w:hAnsi="Arial" w:hint="default"/>
                <w:sz w:val="16"/>
                <w:szCs w:val="16"/>
                <w:u w:color="000000"/>
                <w:shd w:val="nil" w:color="auto" w:fill="auto"/>
                <w:rtl w:val="0"/>
                <w:lang w:val="en-US"/>
              </w:rPr>
              <w:t xml:space="preserve">≈ </w:t>
            </w:r>
            <w:r>
              <w:rPr>
                <w:rFonts w:ascii="Arial" w:hAnsi="Arial"/>
                <w:sz w:val="16"/>
                <w:szCs w:val="16"/>
                <w:u w:color="000000"/>
                <w:shd w:val="nil" w:color="auto" w:fill="auto"/>
                <w:rtl w:val="0"/>
                <w:lang w:val="en-US"/>
              </w:rPr>
              <w:t>5:1 atomic ratio</w:t>
            </w:r>
          </w:p>
        </w:tc>
      </w:tr>
      <w:tr>
        <w:tblPrEx>
          <w:shd w:val="clear" w:color="auto" w:fill="ced7e7"/>
        </w:tblPrEx>
        <w:trPr>
          <w:trHeight w:val="210"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Surface Oxidation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XPS depth profiling, EELS, TEM</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TiO</w:t>
            </w:r>
            <w:r>
              <w:rPr>
                <w:rFonts w:ascii="Arial Unicode MS" w:cs="Arial Unicode MS" w:hAnsi="Arial Unicode MS" w:eastAsia="Arial Unicode MS" w:hint="default"/>
                <w:b w:val="0"/>
                <w:bCs w:val="0"/>
                <w:i w:val="0"/>
                <w:iCs w:val="0"/>
                <w:sz w:val="16"/>
                <w:szCs w:val="16"/>
                <w:u w:color="000000"/>
                <w:shd w:val="nil" w:color="auto" w:fill="auto"/>
                <w:rtl w:val="0"/>
                <w:lang w:val="en-US"/>
              </w:rPr>
              <w:t>₂</w:t>
            </w:r>
            <w:r>
              <w:rPr>
                <w:rFonts w:ascii="Arial" w:hAnsi="Arial"/>
                <w:sz w:val="16"/>
                <w:szCs w:val="16"/>
                <w:u w:color="000000"/>
                <w:shd w:val="nil" w:color="auto" w:fill="auto"/>
                <w:rtl w:val="0"/>
                <w:lang w:val="en-US"/>
              </w:rPr>
              <w:t>-rich surface passivation layer</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Residual Organics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TGA, FTIR</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TOPO/CTAB-related residues</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Surface Area</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BET nitrogen adsorption</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15-25 m</w:t>
            </w:r>
            <w:r>
              <w:rPr>
                <w:rFonts w:ascii="Arial" w:hAnsi="Arial" w:hint="default"/>
                <w:sz w:val="16"/>
                <w:szCs w:val="16"/>
                <w:u w:color="000000"/>
                <w:shd w:val="nil" w:color="auto" w:fill="auto"/>
                <w:rtl w:val="0"/>
                <w:lang w:val="en-US"/>
              </w:rPr>
              <w:t>²</w:t>
            </w:r>
            <w:r>
              <w:rPr>
                <w:rFonts w:ascii="Arial" w:hAnsi="Arial"/>
                <w:sz w:val="16"/>
                <w:szCs w:val="16"/>
                <w:u w:color="000000"/>
                <w:shd w:val="nil" w:color="auto" w:fill="auto"/>
                <w:rtl w:val="0"/>
                <w:lang w:val="en-US"/>
              </w:rPr>
              <w:t>/g, typical</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Thermal Stability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TGA / DSC under controlled atmosphere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Oxidation and nitrogen-loss onset behavior</w:t>
            </w:r>
          </w:p>
        </w:tc>
      </w:tr>
      <w:tr>
        <w:tblPrEx>
          <w:shd w:val="clear" w:color="auto" w:fill="ced7e7"/>
        </w:tblPrEx>
        <w:trPr>
          <w:trHeight w:val="374"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Film / Pellet Conductivity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Four-point probe on defined compacted or deposited sample</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Non-powder conductivity only</w:t>
            </w:r>
          </w:p>
        </w:tc>
      </w:tr>
      <w:tr>
        <w:tblPrEx>
          <w:shd w:val="clear" w:color="auto" w:fill="ced7e7"/>
        </w:tblPrEx>
        <w:trPr>
          <w:trHeight w:val="185" w:hRule="atLeast"/>
        </w:trPr>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Application Demonstrations</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CV, EIS, PEC, photocatalysis, tribology</w:t>
            </w:r>
          </w:p>
        </w:tc>
        <w:tc>
          <w:tcPr>
            <w:tcW w:type="dxa" w:w="34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Literature- or application-specific data only</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9.2 Research-Grade Batch Release Summary</w:t>
      </w:r>
    </w:p>
    <w:tbl>
      <w:tblPr>
        <w:tblW w:w="1044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774"/>
        <w:gridCol w:w="4188"/>
        <w:gridCol w:w="3482"/>
      </w:tblGrid>
      <w:tr>
        <w:tblPrEx>
          <w:shd w:val="clear" w:color="auto" w:fill="ced7e7"/>
        </w:tblPrEx>
        <w:trPr>
          <w:trHeight w:val="204"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Release Item</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Typical Acceptance Target</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Data Category</w:t>
            </w:r>
          </w:p>
        </w:tc>
      </w:tr>
      <w:tr>
        <w:tblPrEx>
          <w:shd w:val="clear" w:color="auto" w:fill="ced7e7"/>
        </w:tblPrEx>
        <w:trPr>
          <w:trHeight w:val="185"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Primary Particle Size</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~65 nm mean; 50-80 nm typical range</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property</w:t>
            </w:r>
          </w:p>
        </w:tc>
      </w:tr>
      <w:tr>
        <w:tblPrEx>
          <w:shd w:val="clear" w:color="auto" w:fill="ced7e7"/>
        </w:tblPrEx>
        <w:trPr>
          <w:trHeight w:val="185"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Morphology</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Cubic / cube-like</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property</w:t>
            </w:r>
          </w:p>
        </w:tc>
      </w:tr>
      <w:tr>
        <w:tblPrEx>
          <w:shd w:val="clear" w:color="auto" w:fill="ced7e7"/>
        </w:tblPrEx>
        <w:trPr>
          <w:trHeight w:val="185"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Dominant Phase</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TiON-rich FCC rock-salt phase</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property</w:t>
            </w:r>
          </w:p>
        </w:tc>
      </w:tr>
      <w:tr>
        <w:tblPrEx>
          <w:shd w:val="clear" w:color="auto" w:fill="ced7e7"/>
        </w:tblPrEx>
        <w:trPr>
          <w:trHeight w:val="210"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Composition</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TiO</w:t>
            </w:r>
            <w:r>
              <w:rPr>
                <w:rFonts w:ascii="Arial Unicode MS" w:cs="Arial Unicode MS" w:hAnsi="Arial Unicode MS" w:eastAsia="Arial Unicode MS" w:hint="default"/>
                <w:b w:val="0"/>
                <w:bCs w:val="0"/>
                <w:i w:val="0"/>
                <w:iCs w:val="0"/>
                <w:sz w:val="16"/>
                <w:szCs w:val="16"/>
                <w:u w:color="000000"/>
                <w:shd w:val="nil" w:color="auto" w:fill="auto"/>
                <w:rtl w:val="0"/>
                <w:lang w:val="en-US"/>
              </w:rPr>
              <w:t>₁</w:t>
            </w:r>
            <w:r>
              <w:rPr>
                <w:rFonts w:ascii="Arial" w:hAnsi="Arial"/>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₅</w:t>
            </w:r>
            <w:r>
              <w:rPr>
                <w:rFonts w:ascii="Arial" w:hAnsi="Arial" w:hint="default"/>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₁</w:t>
            </w:r>
            <w:r>
              <w:rPr>
                <w:rFonts w:ascii="Arial" w:hAnsi="Arial"/>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₈</w:t>
            </w:r>
            <w:r>
              <w:rPr>
                <w:rFonts w:ascii="Arial" w:hAnsi="Arial"/>
                <w:sz w:val="16"/>
                <w:szCs w:val="16"/>
                <w:u w:color="000000"/>
                <w:shd w:val="nil" w:color="auto" w:fill="auto"/>
                <w:rtl w:val="0"/>
                <w:lang w:val="en-US"/>
              </w:rPr>
              <w:t>N</w:t>
            </w:r>
            <w:r>
              <w:rPr>
                <w:rFonts w:ascii="Arial Unicode MS" w:cs="Arial Unicode MS" w:hAnsi="Arial Unicode MS" w:eastAsia="Arial Unicode MS" w:hint="default"/>
                <w:b w:val="0"/>
                <w:bCs w:val="0"/>
                <w:i w:val="0"/>
                <w:iCs w:val="0"/>
                <w:sz w:val="16"/>
                <w:szCs w:val="16"/>
                <w:u w:color="000000"/>
                <w:shd w:val="nil" w:color="auto" w:fill="auto"/>
                <w:rtl w:val="0"/>
                <w:lang w:val="en-US"/>
              </w:rPr>
              <w:t>₀</w:t>
            </w:r>
            <w:r>
              <w:rPr>
                <w:rFonts w:ascii="Arial" w:hAnsi="Arial"/>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₂</w:t>
            </w:r>
            <w:r>
              <w:rPr>
                <w:rFonts w:ascii="Arial" w:hAnsi="Arial" w:hint="default"/>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₀</w:t>
            </w:r>
            <w:r>
              <w:rPr>
                <w:rFonts w:ascii="Arial" w:hAnsi="Arial"/>
                <w:sz w:val="16"/>
                <w:szCs w:val="16"/>
                <w:u w:color="000000"/>
                <w:shd w:val="nil" w:color="auto" w:fill="auto"/>
                <w:rtl w:val="0"/>
                <w:lang w:val="en-US"/>
              </w:rPr>
              <w:t>.</w:t>
            </w:r>
            <w:r>
              <w:rPr>
                <w:rFonts w:ascii="Arial Unicode MS" w:cs="Arial Unicode MS" w:hAnsi="Arial Unicode MS" w:eastAsia="Arial Unicode MS" w:hint="default"/>
                <w:b w:val="0"/>
                <w:bCs w:val="0"/>
                <w:i w:val="0"/>
                <w:iCs w:val="0"/>
                <w:sz w:val="16"/>
                <w:szCs w:val="16"/>
                <w:u w:color="000000"/>
                <w:shd w:val="nil" w:color="auto" w:fill="auto"/>
                <w:rtl w:val="0"/>
                <w:lang w:val="en-US"/>
              </w:rPr>
              <w:t>₄</w:t>
            </w:r>
            <w:r>
              <w:rPr>
                <w:rFonts w:ascii="Arial" w:hAnsi="Arial"/>
                <w:sz w:val="16"/>
                <w:szCs w:val="16"/>
                <w:u w:color="000000"/>
                <w:shd w:val="nil" w:color="auto" w:fill="auto"/>
                <w:rtl w:val="0"/>
                <w:lang w:val="en-US"/>
              </w:rPr>
              <w:t xml:space="preserve">; O:N </w:t>
            </w:r>
            <w:r>
              <w:rPr>
                <w:rFonts w:ascii="Arial" w:hAnsi="Arial" w:hint="default"/>
                <w:sz w:val="16"/>
                <w:szCs w:val="16"/>
                <w:u w:color="000000"/>
                <w:shd w:val="nil" w:color="auto" w:fill="auto"/>
                <w:rtl w:val="0"/>
                <w:lang w:val="en-US"/>
              </w:rPr>
              <w:t xml:space="preserve">≈ </w:t>
            </w:r>
            <w:r>
              <w:rPr>
                <w:rFonts w:ascii="Arial" w:hAnsi="Arial"/>
                <w:sz w:val="16"/>
                <w:szCs w:val="16"/>
                <w:u w:color="000000"/>
                <w:shd w:val="nil" w:color="auto" w:fill="auto"/>
                <w:rtl w:val="0"/>
                <w:lang w:val="en-US"/>
              </w:rPr>
              <w:t>5:1 atomic ratio</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property</w:t>
            </w:r>
          </w:p>
        </w:tc>
      </w:tr>
      <w:tr>
        <w:tblPrEx>
          <w:shd w:val="clear" w:color="auto" w:fill="ced7e7"/>
        </w:tblPrEx>
        <w:trPr>
          <w:trHeight w:val="185"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Residual Organics</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2-5 wt %, typical</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property</w:t>
            </w:r>
          </w:p>
        </w:tc>
      </w:tr>
      <w:tr>
        <w:tblPrEx>
          <w:shd w:val="clear" w:color="auto" w:fill="ced7e7"/>
        </w:tblPrEx>
        <w:trPr>
          <w:trHeight w:val="185"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Specific Surface Area</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15-25 m</w:t>
            </w:r>
            <w:r>
              <w:rPr>
                <w:rFonts w:ascii="Arial" w:hAnsi="Arial" w:hint="default"/>
                <w:sz w:val="16"/>
                <w:szCs w:val="16"/>
                <w:u w:color="000000"/>
                <w:shd w:val="nil" w:color="auto" w:fill="auto"/>
                <w:rtl w:val="0"/>
                <w:lang w:val="en-US"/>
              </w:rPr>
              <w:t>²</w:t>
            </w:r>
            <w:r>
              <w:rPr>
                <w:rFonts w:ascii="Arial" w:hAnsi="Arial"/>
                <w:sz w:val="16"/>
                <w:szCs w:val="16"/>
                <w:u w:color="000000"/>
                <w:shd w:val="nil" w:color="auto" w:fill="auto"/>
                <w:rtl w:val="0"/>
                <w:lang w:val="en-US"/>
              </w:rPr>
              <w:t>/g, typical</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property</w:t>
            </w:r>
          </w:p>
        </w:tc>
      </w:tr>
      <w:tr>
        <w:tblPrEx>
          <w:shd w:val="clear" w:color="auto" w:fill="ced7e7"/>
        </w:tblPrEx>
        <w:trPr>
          <w:trHeight w:val="185"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Moisture Content</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&lt;1.5 wt %, typical</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property</w:t>
            </w:r>
          </w:p>
        </w:tc>
      </w:tr>
      <w:tr>
        <w:tblPrEx>
          <w:shd w:val="clear" w:color="auto" w:fill="ced7e7"/>
        </w:tblPrEx>
        <w:trPr>
          <w:trHeight w:val="185"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Water Dispersibility</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Temporarily dispersible with sonication/agitation</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handling property</w:t>
            </w:r>
          </w:p>
        </w:tc>
      </w:tr>
      <w:tr>
        <w:tblPrEx>
          <w:shd w:val="clear" w:color="auto" w:fill="ced7e7"/>
        </w:tblPrEx>
        <w:trPr>
          <w:trHeight w:val="185" w:hRule="atLeast"/>
        </w:trPr>
        <w:tc>
          <w:tcPr>
            <w:tcW w:type="dxa" w:w="27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6"/>
                <w:szCs w:val="16"/>
                <w:u w:color="000000"/>
                <w:shd w:val="nil" w:color="auto" w:fill="auto"/>
                <w:rtl w:val="0"/>
                <w:lang w:val="en-US"/>
              </w:rPr>
              <w:t>DMF Dispersibility</w:t>
            </w:r>
          </w:p>
        </w:tc>
        <w:tc>
          <w:tcPr>
            <w:tcW w:type="dxa" w:w="41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Readily dispersible; representative stability &gt;1 week</w:t>
            </w:r>
          </w:p>
        </w:tc>
        <w:tc>
          <w:tcPr>
            <w:tcW w:type="dxa" w:w="34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6"/>
                <w:szCs w:val="16"/>
                <w:u w:color="000000"/>
                <w:shd w:val="nil" w:color="auto" w:fill="auto"/>
                <w:rtl w:val="0"/>
                <w:lang w:val="en-US"/>
              </w:rPr>
              <w:t>Intrinsic nanoparticle handling property</w:t>
            </w:r>
          </w:p>
        </w:tc>
      </w:tr>
    </w:tbl>
    <w:p>
      <w:pPr>
        <w:pStyle w:val="Heading 2"/>
        <w:keepLines w:val="1"/>
        <w:widowControl w:val="0"/>
        <w:bidi w:val="0"/>
        <w:spacing w:before="160" w:after="80"/>
        <w:ind w:left="0" w:right="0" w:firstLine="0"/>
        <w:jc w:val="center"/>
        <w:rPr>
          <w:rFonts w:ascii="Arial" w:cs="Arial" w:hAnsi="Arial" w:eastAsia="Arial"/>
          <w:outline w:val="0"/>
          <w:color w:val="245e46"/>
          <w:sz w:val="24"/>
          <w:szCs w:val="24"/>
          <w:u w:color="245e46"/>
          <w:rtl w:val="0"/>
          <w14:textFill>
            <w14:solidFill>
              <w14:srgbClr w14:val="245E46"/>
            </w14:solidFill>
          </w14:textFill>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Electrical, hardness, photocurrent, capacitance, catalytic, and tribological values should be reported only with the sample architecture and measurement method used to generate them.</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en-US"/>
          <w14:textFill>
            <w14:solidFill>
              <w14:srgbClr w14:val="17365D"/>
            </w14:solidFill>
          </w14:textFill>
        </w:rPr>
        <w:t>10. DOCUMENTATION, QUALITY ASSURANCE, AND REGULATORY NOTES</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10.1 Documentation</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Certificate of Analysis (CoA):</w:t>
      </w:r>
      <w:r>
        <w:rPr>
          <w:rFonts w:ascii="Arial" w:hAnsi="Arial"/>
          <w:sz w:val="18"/>
          <w:szCs w:val="18"/>
          <w:u w:color="000000"/>
          <w:rtl w:val="0"/>
          <w:lang w:val="en-US"/>
        </w:rPr>
        <w:t xml:space="preserve"> Available with batch-specific XRD, TEM/STEM, XPS or elemental analysis, TGA, and moisture data as applicable.</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Safety Data Sheet (SDS):</w:t>
      </w:r>
      <w:r>
        <w:rPr>
          <w:rFonts w:ascii="Arial" w:hAnsi="Arial"/>
          <w:sz w:val="18"/>
          <w:szCs w:val="18"/>
          <w:u w:color="000000"/>
          <w:rtl w:val="0"/>
          <w:lang w:val="en-US"/>
        </w:rPr>
        <w:t xml:space="preserve"> Available upon request with available product-specific and class-based hazard information.</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Analytical Reports:</w:t>
      </w:r>
      <w:r>
        <w:rPr>
          <w:rFonts w:ascii="Arial" w:hAnsi="Arial"/>
          <w:sz w:val="18"/>
          <w:szCs w:val="18"/>
          <w:u w:color="000000"/>
          <w:rtl w:val="0"/>
          <w:lang w:val="en-US"/>
        </w:rPr>
        <w:t xml:space="preserve"> Full characterization data and raw spectra may be provided for qualified technical evaluation.</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b w:val="1"/>
          <w:bCs w:val="1"/>
          <w:sz w:val="18"/>
          <w:szCs w:val="18"/>
          <w:u w:color="000000"/>
          <w:rtl w:val="0"/>
          <w:lang w:val="en-US"/>
        </w:rPr>
        <w:t>Batch Traceability:</w:t>
      </w:r>
      <w:r>
        <w:rPr>
          <w:rFonts w:ascii="Arial" w:hAnsi="Arial"/>
          <w:sz w:val="18"/>
          <w:szCs w:val="18"/>
          <w:u w:color="000000"/>
          <w:rtl w:val="0"/>
          <w:lang w:val="en-US"/>
        </w:rPr>
        <w:t xml:space="preserve"> Batch ID, synthesis date, and key synthesis / purification parameters recorded.</w:t>
      </w:r>
    </w:p>
    <w:p>
      <w:pPr>
        <w:pStyle w:val="Heading 2"/>
        <w:keepLines w:val="1"/>
        <w:bidi w:val="0"/>
        <w:spacing w:before="160" w:after="80" w:line="252" w:lineRule="auto"/>
        <w:ind w:left="0" w:right="0" w:firstLine="0"/>
        <w:jc w:val="left"/>
        <w:rPr>
          <w:rFonts w:ascii="Arial" w:cs="Arial" w:hAnsi="Arial" w:eastAsia="Arial"/>
          <w:outline w:val="0"/>
          <w:color w:val="245e46"/>
          <w:sz w:val="24"/>
          <w:szCs w:val="24"/>
          <w:u w:color="245e46"/>
          <w:rtl w:val="0"/>
          <w14:textFill>
            <w14:solidFill>
              <w14:srgbClr w14:val="245E46"/>
            </w14:solidFill>
          </w14:textFill>
        </w:rPr>
      </w:pPr>
      <w:r>
        <w:rPr>
          <w:rFonts w:ascii="Arial" w:hAnsi="Arial"/>
          <w:outline w:val="0"/>
          <w:color w:val="245e46"/>
          <w:sz w:val="24"/>
          <w:szCs w:val="24"/>
          <w:u w:color="245e46"/>
          <w:rtl w:val="0"/>
          <w:lang w:val="en-US"/>
          <w14:textFill>
            <w14:solidFill>
              <w14:srgbClr w14:val="245E46"/>
            </w14:solidFill>
          </w14:textFill>
        </w:rPr>
        <w:t>10.2 Regulatory Status</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Regulatory status depends on jurisdiction, volume, application, and nanomaterial-specific requirements.</w:t>
      </w:r>
    </w:p>
    <w:tbl>
      <w:tblPr>
        <w:tblW w:w="10444"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83"/>
        <w:gridCol w:w="8661"/>
      </w:tblGrid>
      <w:tr>
        <w:tblPrEx>
          <w:shd w:val="clear" w:color="auto" w:fill="ced7e7"/>
        </w:tblPrEx>
        <w:trPr>
          <w:trHeight w:val="204" w:hRule="atLeast"/>
        </w:trPr>
        <w:tc>
          <w:tcPr>
            <w:tcW w:type="dxa" w:w="1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Region</w:t>
            </w:r>
          </w:p>
        </w:tc>
        <w:tc>
          <w:tcPr>
            <w:tcW w:type="dxa" w:w="86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8e2"/>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outline w:val="0"/>
                <w:color w:val="17365d"/>
                <w:sz w:val="17"/>
                <w:szCs w:val="17"/>
                <w:u w:color="17365d"/>
                <w:shd w:val="nil" w:color="auto" w:fill="auto"/>
                <w:rtl w:val="0"/>
                <w:lang w:val="en-US"/>
                <w14:textFill>
                  <w14:solidFill>
                    <w14:srgbClr w14:val="17365D"/>
                  </w14:solidFill>
                </w14:textFill>
              </w:rPr>
              <w:t>Conservative Status Statement</w:t>
            </w:r>
          </w:p>
        </w:tc>
      </w:tr>
      <w:tr>
        <w:tblPrEx>
          <w:shd w:val="clear" w:color="auto" w:fill="ced7e7"/>
        </w:tblPrEx>
        <w:trPr>
          <w:trHeight w:val="414" w:hRule="atLeast"/>
        </w:trPr>
        <w:tc>
          <w:tcPr>
            <w:tcW w:type="dxa" w:w="1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Europe</w:t>
            </w:r>
          </w:p>
        </w:tc>
        <w:tc>
          <w:tcPr>
            <w:tcW w:type="dxa" w:w="86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Nanomaterial and chemical registration obligations must be assessed for the intended import/manufacture volume and use case.</w:t>
            </w:r>
          </w:p>
        </w:tc>
      </w:tr>
      <w:tr>
        <w:tblPrEx>
          <w:shd w:val="clear" w:color="auto" w:fill="ced7e7"/>
        </w:tblPrEx>
        <w:trPr>
          <w:trHeight w:val="204" w:hRule="atLeast"/>
        </w:trPr>
        <w:tc>
          <w:tcPr>
            <w:tcW w:type="dxa" w:w="1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United States</w:t>
            </w:r>
          </w:p>
        </w:tc>
        <w:tc>
          <w:tcPr>
            <w:tcW w:type="dxa" w:w="86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TSCA and nanomaterial reporting obligations should be evaluated before commercial use or scale-up.</w:t>
            </w:r>
          </w:p>
        </w:tc>
      </w:tr>
      <w:tr>
        <w:tblPrEx>
          <w:shd w:val="clear" w:color="auto" w:fill="ced7e7"/>
        </w:tblPrEx>
        <w:trPr>
          <w:trHeight w:val="414" w:hRule="atLeast"/>
        </w:trPr>
        <w:tc>
          <w:tcPr>
            <w:tcW w:type="dxa" w:w="1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China</w:t>
            </w:r>
          </w:p>
        </w:tc>
        <w:tc>
          <w:tcPr>
            <w:tcW w:type="dxa" w:w="86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Chemical and nanomaterial compliance requirements should be reviewed for the intended application and volume.</w:t>
            </w:r>
          </w:p>
        </w:tc>
      </w:tr>
      <w:tr>
        <w:tblPrEx>
          <w:shd w:val="clear" w:color="auto" w:fill="ced7e7"/>
        </w:tblPrEx>
        <w:trPr>
          <w:trHeight w:val="204" w:hRule="atLeast"/>
        </w:trPr>
        <w:tc>
          <w:tcPr>
            <w:tcW w:type="dxa" w:w="1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Japan</w:t>
            </w:r>
          </w:p>
        </w:tc>
        <w:tc>
          <w:tcPr>
            <w:tcW w:type="dxa" w:w="86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Chemical inventory and nanomaterial-specific obligations should be assessed before commercial supply.</w:t>
            </w:r>
          </w:p>
        </w:tc>
      </w:tr>
      <w:tr>
        <w:tblPrEx>
          <w:shd w:val="clear" w:color="auto" w:fill="ced7e7"/>
        </w:tblPrEx>
        <w:trPr>
          <w:trHeight w:val="204" w:hRule="atLeast"/>
        </w:trPr>
        <w:tc>
          <w:tcPr>
            <w:tcW w:type="dxa" w:w="17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b w:val="1"/>
                <w:bCs w:val="1"/>
                <w:sz w:val="17"/>
                <w:szCs w:val="17"/>
                <w:u w:color="000000"/>
                <w:shd w:val="nil" w:color="auto" w:fill="auto"/>
                <w:rtl w:val="0"/>
                <w:lang w:val="en-US"/>
              </w:rPr>
              <w:t>Other Jurisdictions</w:t>
            </w:r>
          </w:p>
        </w:tc>
        <w:tc>
          <w:tcPr>
            <w:tcW w:type="dxa" w:w="86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pStyle w:val="Body"/>
              <w:bidi w:val="0"/>
              <w:spacing w:line="252" w:lineRule="auto"/>
              <w:ind w:left="0" w:right="0" w:firstLine="0"/>
              <w:jc w:val="left"/>
              <w:rPr>
                <w:rtl w:val="0"/>
              </w:rPr>
            </w:pPr>
            <w:r>
              <w:rPr>
                <w:rFonts w:ascii="Arial" w:hAnsi="Arial"/>
                <w:sz w:val="17"/>
                <w:szCs w:val="17"/>
                <w:u w:color="000000"/>
                <w:shd w:val="nil" w:color="auto" w:fill="auto"/>
                <w:rtl w:val="0"/>
                <w:lang w:val="en-US"/>
              </w:rPr>
              <w:t>Local chemical, workplace, product-safety, and environmental requirements may apply.</w:t>
            </w:r>
          </w:p>
        </w:tc>
      </w:tr>
    </w:tbl>
    <w:p>
      <w:pPr>
        <w:pStyle w:val="Body"/>
        <w:widowControl w:val="0"/>
        <w:bidi w:val="0"/>
        <w:spacing w:after="80"/>
        <w:ind w:left="0" w:right="0" w:firstLine="0"/>
        <w:jc w:val="center"/>
        <w:rPr>
          <w:rFonts w:ascii="Arial" w:cs="Arial" w:hAnsi="Arial" w:eastAsia="Arial"/>
          <w:sz w:val="18"/>
          <w:szCs w:val="18"/>
          <w:u w:color="000000"/>
          <w:rtl w:val="0"/>
        </w:rPr>
      </w:pPr>
    </w:p>
    <w:p>
      <w:pPr>
        <w:pStyle w:val="Body"/>
        <w:bidi w:val="0"/>
        <w:spacing w:after="60" w:line="252" w:lineRule="auto"/>
        <w:ind w:left="0" w:right="0" w:firstLine="0"/>
        <w:jc w:val="left"/>
        <w:rPr>
          <w:rFonts w:ascii="Arial" w:cs="Arial" w:hAnsi="Arial" w:eastAsia="Arial"/>
          <w:sz w:val="18"/>
          <w:szCs w:val="18"/>
          <w:u w:color="000000"/>
          <w:rtl w:val="0"/>
        </w:rPr>
      </w:pP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No formal regulatory certification is implied by this Technical Data Sheet.</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14:textFill>
            <w14:solidFill>
              <w14:srgbClr w14:val="17365D"/>
            </w14:solidFill>
          </w14:textFill>
        </w:rPr>
        <w:t>11. TECHNICAL SUPPORT</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i w:val="1"/>
          <w:iCs w:val="1"/>
          <w:sz w:val="17"/>
          <w:szCs w:val="17"/>
          <w:u w:color="000000"/>
          <w:rtl w:val="0"/>
          <w:lang w:val="en-US"/>
        </w:rPr>
        <w:t>Technical discussion, sample requests, and custom synthesis options may include:</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Alternative particle size targets in the 30-200 nm range</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Related metal oxynitride systems such as ZrON or HfON</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Composite formulation studies with CNTs, graphene, carbon fibers, or catalyst particles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Surface functionalization and ligand-exchange development</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Thin-film, compacted pellet, and coating process development support</w:t>
      </w:r>
    </w:p>
    <w:p>
      <w:pPr>
        <w:pStyle w:val="Body"/>
        <w:bidi w:val="0"/>
        <w:spacing w:before="60" w:after="60" w:line="252" w:lineRule="auto"/>
        <w:ind w:left="0" w:right="0" w:firstLine="0"/>
        <w:jc w:val="left"/>
        <w:rPr>
          <w:rFonts w:ascii="Arial" w:cs="Arial" w:hAnsi="Arial" w:eastAsia="Arial"/>
          <w:sz w:val="18"/>
          <w:szCs w:val="18"/>
          <w:u w:color="000000"/>
          <w:rtl w:val="0"/>
        </w:rPr>
      </w:pPr>
    </w:p>
    <w:p>
      <w:pPr>
        <w:pStyle w:val="Heading"/>
        <w:keepLines w:val="1"/>
        <w:bidi w:val="0"/>
        <w:spacing w:before="240" w:after="100" w:line="252" w:lineRule="auto"/>
        <w:ind w:left="0" w:right="0" w:firstLine="0"/>
        <w:jc w:val="left"/>
        <w:rPr>
          <w:rFonts w:ascii="Arial" w:cs="Arial" w:hAnsi="Arial" w:eastAsia="Arial"/>
          <w:outline w:val="0"/>
          <w:color w:val="17365d"/>
          <w:sz w:val="30"/>
          <w:szCs w:val="30"/>
          <w:u w:color="17365d"/>
          <w:rtl w:val="0"/>
          <w14:textFill>
            <w14:solidFill>
              <w14:srgbClr w14:val="17365D"/>
            </w14:solidFill>
          </w14:textFill>
        </w:rPr>
      </w:pPr>
      <w:r>
        <w:rPr>
          <w:rFonts w:ascii="Arial" w:hAnsi="Arial"/>
          <w:outline w:val="0"/>
          <w:color w:val="17365d"/>
          <w:sz w:val="30"/>
          <w:szCs w:val="30"/>
          <w:u w:color="17365d"/>
          <w:rtl w:val="0"/>
          <w:lang w:val="de-DE"/>
          <w14:textFill>
            <w14:solidFill>
              <w14:srgbClr w14:val="17365D"/>
            </w14:solidFill>
          </w14:textFill>
        </w:rPr>
        <w:t>DISCLAIMER</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This Technical Data Sheet summarizes available research-grade product data and selected literature context for titanium oxynitride nanoparticles synthesized by a low-temperature colloidal route. Information is provided for technical evaluation and application development and should not be treated as an industrial commodity specification or device-performance guarantee.</w:t>
      </w:r>
    </w:p>
    <w:p>
      <w:pPr>
        <w:pStyle w:val="Body"/>
        <w:bidi w:val="0"/>
        <w:spacing w:after="80" w:line="252" w:lineRule="auto"/>
        <w:ind w:left="0" w:right="0" w:firstLine="0"/>
        <w:jc w:val="left"/>
        <w:rPr>
          <w:rFonts w:ascii="Arial" w:cs="Arial" w:hAnsi="Arial" w:eastAsia="Arial"/>
          <w:sz w:val="18"/>
          <w:szCs w:val="18"/>
          <w:u w:color="000000"/>
          <w:rtl w:val="0"/>
        </w:rPr>
      </w:pPr>
      <w:r>
        <w:rPr>
          <w:rFonts w:ascii="Arial" w:hAnsi="Arial"/>
          <w:sz w:val="18"/>
          <w:szCs w:val="18"/>
          <w:u w:color="000000"/>
          <w:rtl w:val="0"/>
          <w:lang w:val="en-US"/>
        </w:rPr>
        <w:t>Users are responsible for:</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Verifying suitability for their specific application.</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Conducting appropriate safety, processing, and performance testing.</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Confirming regulatory obligations in all relevant jurisdictions.</w:t>
      </w:r>
    </w:p>
    <w:p>
      <w:pPr>
        <w:pStyle w:val="Default"/>
        <w:numPr>
          <w:ilvl w:val="0"/>
          <w:numId w:val="2"/>
        </w:numPr>
        <w:bidi w:val="0"/>
        <w:spacing w:before="0" w:after="40" w:line="252" w:lineRule="auto"/>
        <w:ind w:right="0"/>
        <w:jc w:val="left"/>
        <w:rPr>
          <w:rFonts w:ascii="Arial" w:hAnsi="Arial"/>
          <w:sz w:val="18"/>
          <w:szCs w:val="18"/>
          <w:u w:color="000000"/>
          <w:rtl w:val="0"/>
          <w:lang w:val="en-US"/>
        </w:rPr>
      </w:pPr>
      <w:r>
        <w:rPr>
          <w:rFonts w:ascii="Arial" w:hAnsi="Arial"/>
          <w:sz w:val="18"/>
          <w:szCs w:val="18"/>
          <w:u w:color="000000"/>
          <w:rtl w:val="0"/>
          <w:lang w:val="en-US"/>
        </w:rPr>
        <w:t>Handling, storing, and disposing of nanomaterials according to applicable requirements.</w:t>
      </w:r>
    </w:p>
    <w:p>
      <w:pPr>
        <w:pStyle w:val="Body"/>
        <w:bidi w:val="0"/>
        <w:spacing w:after="80" w:line="252" w:lineRule="auto"/>
        <w:ind w:left="0" w:right="0" w:firstLine="0"/>
        <w:jc w:val="left"/>
        <w:rPr>
          <w:rtl w:val="0"/>
        </w:rPr>
      </w:pPr>
      <w:r>
        <w:rPr>
          <w:rFonts w:ascii="Arial" w:hAnsi="Arial"/>
          <w:b w:val="1"/>
          <w:bCs w:val="1"/>
          <w:sz w:val="18"/>
          <w:szCs w:val="18"/>
          <w:u w:color="000000"/>
          <w:rtl w:val="0"/>
          <w:lang w:val="en-US"/>
        </w:rPr>
        <w:t>Liability:</w:t>
      </w:r>
      <w:r>
        <w:rPr>
          <w:rFonts w:ascii="Arial" w:hAnsi="Arial"/>
          <w:sz w:val="18"/>
          <w:szCs w:val="18"/>
          <w:u w:color="000000"/>
          <w:rtl w:val="0"/>
          <w:lang w:val="en-US"/>
        </w:rPr>
        <w:t xml:space="preserve"> The manufacturer shall not be liable for direct, indirect, or consequential damages arising from use of this product.</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widowControl w:val="0"/>
      <w:tabs>
        <w:tab w:val="center" w:pos="4819"/>
        <w:tab w:val="right" w:pos="9638"/>
        <w:tab w:val="clear" w:pos="9020"/>
      </w:tabs>
      <w:bidi w:val="0"/>
      <w:ind w:left="0" w:right="0" w:firstLine="0"/>
      <w:jc w:val="left"/>
      <w:rPr>
        <w:kern w:val="2"/>
        <w:sz w:val="18"/>
        <w:szCs w:val="18"/>
        <w:u w:color="000000"/>
        <w:rtl w:val="0"/>
        <w:lang w:val="en-US"/>
      </w:rPr>
    </w:pPr>
    <w:r>
      <w:rPr>
        <w:kern w:val="2"/>
        <w:sz w:val="18"/>
        <w:szCs w:val="18"/>
        <w:u w:color="000000"/>
        <w:rtl w:val="0"/>
        <w:lang w:val="en-US"/>
      </w:rPr>
      <w:fldChar w:fldCharType="begin" w:fldLock="0"/>
    </w:r>
    <w:r>
      <w:rPr>
        <w:kern w:val="2"/>
        <w:sz w:val="18"/>
        <w:szCs w:val="18"/>
        <w:u w:color="000000"/>
        <w:rtl w:val="0"/>
        <w:lang w:val="en-US"/>
      </w:rPr>
      <w:instrText xml:space="preserve"> HYPERLINK "https://www.ruisunm.cn"</w:instrText>
    </w:r>
    <w:r>
      <w:rPr>
        <w:kern w:val="2"/>
        <w:sz w:val="18"/>
        <w:szCs w:val="18"/>
        <w:u w:color="000000"/>
        <w:rtl w:val="0"/>
        <w:lang w:val="en-US"/>
      </w:rPr>
      <w:fldChar w:fldCharType="separate" w:fldLock="0"/>
    </w:r>
    <w:r>
      <w:rPr>
        <w:kern w:val="2"/>
        <w:sz w:val="18"/>
        <w:szCs w:val="18"/>
        <w:u w:color="000000"/>
        <w:rtl w:val="0"/>
        <w:lang w:val="en-US"/>
      </w:rPr>
      <w:t>www.ruisunm.cn</w:t>
    </w:r>
    <w:r>
      <w:rPr>
        <w:kern w:val="2"/>
        <w:sz w:val="18"/>
        <w:szCs w:val="18"/>
        <w:u w:color="000000"/>
        <w:rtl w:val="0"/>
        <w:lang w:val="en-US"/>
      </w:rPr>
      <w:fldChar w:fldCharType="end" w:fldLock="0"/>
    </w:r>
    <w:r>
      <w:rPr>
        <w:kern w:val="2"/>
        <w:sz w:val="18"/>
        <w:szCs w:val="18"/>
        <w:u w:color="000000"/>
        <w:rtl w:val="0"/>
        <w:lang w:val="en-US"/>
      </w:rPr>
      <w:tab/>
      <w:t xml:space="preserve">TEL:86 731-8224 6688  </w:t>
      <w:tab/>
    </w:r>
    <w:r>
      <w:rPr>
        <w:kern w:val="2"/>
        <w:sz w:val="18"/>
        <w:szCs w:val="18"/>
        <w:u w:color="000000"/>
        <w:rtl w:val="0"/>
        <w:lang w:val="en-US"/>
      </w:rPr>
      <w:t xml:space="preserve">Adddress:  </w:t>
    </w:r>
    <w:r>
      <w:rPr>
        <w:kern w:val="2"/>
        <w:sz w:val="18"/>
        <w:szCs w:val="18"/>
        <w:u w:color="000000"/>
        <w:rtl w:val="0"/>
        <w:lang w:val="en-US"/>
      </w:rPr>
      <w:t xml:space="preserve">Room531,Tower C, </w:t>
    </w:r>
  </w:p>
  <w:p>
    <w:pPr>
      <w:pStyle w:val="Header &amp; Footer"/>
      <w:widowControl w:val="0"/>
      <w:tabs>
        <w:tab w:val="center" w:pos="4819"/>
        <w:tab w:val="right" w:pos="9638"/>
        <w:tab w:val="clear" w:pos="9020"/>
      </w:tabs>
      <w:bidi w:val="0"/>
      <w:ind w:left="0" w:right="0" w:firstLine="0"/>
      <w:jc w:val="left"/>
      <w:rPr>
        <w:kern w:val="2"/>
        <w:sz w:val="18"/>
        <w:szCs w:val="18"/>
        <w:u w:color="000000"/>
        <w:rtl w:val="0"/>
        <w:lang w:val="en-US"/>
      </w:rPr>
    </w:pPr>
    <w:r>
      <w:rPr>
        <w:kern w:val="2"/>
        <w:sz w:val="18"/>
        <w:szCs w:val="18"/>
        <w:u w:color="000000"/>
        <w:rtl w:val="0"/>
        <w:lang w:val="en-US"/>
      </w:rPr>
      <w:t>czworkshop@icloud.com</w:t>
    </w:r>
    <w:r>
      <w:rPr>
        <w:kern w:val="2"/>
        <w:sz w:val="18"/>
        <w:szCs w:val="18"/>
        <w:u w:color="000000"/>
        <w:rtl w:val="0"/>
        <w:lang w:val="en-US"/>
      </w:rPr>
      <w:t/>
    </w:r>
    <w:r>
      <w:rPr>
        <w:kern w:val="2"/>
        <w:sz w:val="18"/>
        <w:szCs w:val="18"/>
        <w:u w:color="000000"/>
        <w:rtl w:val="0"/>
        <w:lang w:val="en-US"/>
      </w:rPr>
      <w:t/>
      <w:tab/>
      <w:t xml:space="preserve">FAX:86 731-8521 5868  </w:t>
      <w:tab/>
      <w:t xml:space="preserve">Hong Jing Ming Plaza, Shao Shan </w:t>
    </w:r>
  </w:p>
  <w:p>
    <w:pPr>
      <w:pStyle w:val="Header &amp; Footer"/>
      <w:widowControl w:val="0"/>
      <w:tabs>
        <w:tab w:val="center" w:pos="4819"/>
        <w:tab w:val="right" w:pos="9638"/>
        <w:tab w:val="clear" w:pos="9020"/>
      </w:tabs>
      <w:bidi w:val="0"/>
      <w:ind w:left="0" w:right="0" w:firstLine="0"/>
      <w:jc w:val="left"/>
      <w:rPr>
        <w:rtl w:val="0"/>
      </w:rPr>
    </w:pPr>
    <w:r>
      <w:rPr>
        <w:kern w:val="2"/>
        <w:sz w:val="18"/>
        <w:szCs w:val="18"/>
        <w:u w:color="000000"/>
        <w:rtl w:val="0"/>
        <w:lang w:val="en-US"/>
      </w:rPr>
      <w:tab/>
      <w:tab/>
      <w:t>North Road243, ChangSha, China.</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widowControl w:val="0"/>
      <w:tabs>
        <w:tab w:val="center" w:pos="4819"/>
        <w:tab w:val="right" w:pos="9638"/>
        <w:tab w:val="clear" w:pos="9020"/>
      </w:tabs>
      <w:bidi w:val="0"/>
      <w:ind w:left="0" w:right="0" w:firstLine="0"/>
      <w:jc w:val="left"/>
      <w:rPr>
        <w:rtl w:val="0"/>
      </w:rPr>
    </w:pPr>
    <w:r>
      <w:rPr>
        <w:b w:val="1"/>
        <w:bCs w:val="1"/>
        <w:outline w:val="0"/>
        <w:color w:val="548dd4"/>
        <w:kern w:val="2"/>
        <w:sz w:val="28"/>
        <w:szCs w:val="28"/>
        <w:u w:color="548dd4"/>
        <w:rtl w:val="0"/>
        <w:lang w:val="en-US"/>
        <w14:textFill>
          <w14:solidFill>
            <w14:srgbClr w14:val="548DD4"/>
          </w14:solidFill>
        </w14:textFill>
      </w:rPr>
      <w:t xml:space="preserve">YXL New </w:t>
    </w:r>
    <w:r>
      <w:rPr>
        <w:b w:val="1"/>
        <w:bCs w:val="1"/>
        <w:outline w:val="0"/>
        <w:color w:val="548dd4"/>
        <w:kern w:val="2"/>
        <w:sz w:val="28"/>
        <w:szCs w:val="28"/>
        <w:u w:color="548dd4"/>
        <w:rtl w:val="0"/>
        <w:lang w:val="en-US"/>
        <w14:textFill>
          <w14:solidFill>
            <w14:srgbClr w14:val="548DD4"/>
          </w14:solidFill>
        </w14:textFill>
      </w:rPr>
      <w:t>Materia</w:t>
    </w:r>
    <w:r>
      <w:rPr>
        <w:b w:val="1"/>
        <w:bCs w:val="1"/>
        <w:outline w:val="0"/>
        <w:color w:val="548dd4"/>
        <w:kern w:val="2"/>
        <w:sz w:val="28"/>
        <w:szCs w:val="28"/>
        <w:u w:color="548dd4"/>
        <w:rtl w:val="0"/>
        <w:lang w:val="en-US"/>
        <w14:textFill>
          <w14:solidFill>
            <w14:srgbClr w14:val="548DD4"/>
          </w14:solidFill>
        </w14:textFill>
      </w:rPr>
      <w:t>l</w:t>
    </w:r>
    <w:r>
      <w:rPr>
        <w:kern w:val="2"/>
        <w:sz w:val="18"/>
        <w:szCs w:val="18"/>
        <w:u w:color="000000"/>
        <w:rtl w:val="0"/>
        <w:lang w:val="en-US"/>
      </w:rPr>
      <w:tab/>
    </w:r>
    <w:r>
      <w:rPr>
        <w:kern w:val="0"/>
        <w:sz w:val="24"/>
        <w:szCs w:val="24"/>
        <w:u w:color="000000"/>
        <w:rtl w:val="0"/>
        <w:lang w:val="en-US"/>
      </w:rPr>
      <w:t xml:space="preserve">Page </w:t>
    </w:r>
    <w:r>
      <w:rPr>
        <w:kern w:val="0"/>
        <w:sz w:val="24"/>
        <w:szCs w:val="24"/>
        <w:u w:color="000000"/>
        <w:rtl w:val="0"/>
        <w:lang w:val="en-US"/>
      </w:rPr>
      <w:fldChar w:fldCharType="begin" w:fldLock="0"/>
    </w:r>
    <w:r>
      <w:rPr>
        <w:kern w:val="0"/>
        <w:sz w:val="24"/>
        <w:szCs w:val="24"/>
        <w:u w:color="000000"/>
        <w:rtl w:val="0"/>
        <w:lang w:val="en-US"/>
      </w:rPr>
      <w:instrText xml:space="preserve"> PAGE </w:instrText>
    </w:r>
    <w:r>
      <w:rPr>
        <w:kern w:val="0"/>
        <w:sz w:val="24"/>
        <w:szCs w:val="24"/>
        <w:u w:color="000000"/>
        <w:rtl w:val="0"/>
        <w:lang w:val="en-US"/>
      </w:rPr>
      <w:fldChar w:fldCharType="separate" w:fldLock="0"/>
    </w:r>
    <w:r>
      <w:rPr>
        <w:kern w:val="0"/>
        <w:sz w:val="24"/>
        <w:szCs w:val="24"/>
        <w:u w:color="000000"/>
        <w:rtl w:val="0"/>
        <w:lang w:val="en-US"/>
      </w:rPr>
    </w:r>
    <w:r>
      <w:rPr>
        <w:kern w:val="0"/>
        <w:sz w:val="24"/>
        <w:szCs w:val="24"/>
        <w:u w:color="000000"/>
        <w:rtl w:val="0"/>
        <w:lang w:val="en-US"/>
      </w:rPr>
      <w:fldChar w:fldCharType="end" w:fldLock="0"/>
    </w:r>
    <w:r>
      <w:rPr>
        <w:kern w:val="0"/>
        <w:sz w:val="24"/>
        <w:szCs w:val="24"/>
        <w:u w:color="000000"/>
        <w:rtl w:val="0"/>
        <w:lang w:val="en-US"/>
      </w:rPr>
      <w:t xml:space="preserve"> of </w:t>
    </w:r>
    <w:r>
      <w:rPr>
        <w:kern w:val="0"/>
        <w:sz w:val="24"/>
        <w:szCs w:val="24"/>
        <w:u w:color="000000"/>
        <w:rtl w:val="0"/>
        <w:lang w:val="en-US"/>
      </w:rPr>
      <w:fldChar w:fldCharType="begin" w:fldLock="0"/>
    </w:r>
    <w:r>
      <w:rPr>
        <w:kern w:val="0"/>
        <w:sz w:val="24"/>
        <w:szCs w:val="24"/>
        <w:u w:color="000000"/>
        <w:rtl w:val="0"/>
        <w:lang w:val="en-US"/>
      </w:rPr>
      <w:instrText xml:space="preserve"> NUMPAGES </w:instrText>
    </w:r>
    <w:r>
      <w:rPr>
        <w:kern w:val="0"/>
        <w:sz w:val="24"/>
        <w:szCs w:val="24"/>
        <w:u w:color="000000"/>
        <w:rtl w:val="0"/>
        <w:lang w:val="en-US"/>
      </w:rPr>
      <w:fldChar w:fldCharType="separate" w:fldLock="0"/>
    </w:r>
    <w:r>
      <w:rPr>
        <w:kern w:val="0"/>
        <w:sz w:val="24"/>
        <w:szCs w:val="24"/>
        <w:u w:color="000000"/>
        <w:rtl w:val="0"/>
        <w:lang w:val="en-US"/>
      </w:rPr>
    </w:r>
    <w:r>
      <w:rPr>
        <w:kern w:val="0"/>
        <w:sz w:val="24"/>
        <w:szCs w:val="24"/>
        <w:u w:color="000000"/>
        <w:rtl w:val="0"/>
        <w:lang w:val="en-US"/>
      </w:rPr>
      <w:fldChar w:fldCharType="end" w:fldLock="0"/>
    </w:r>
    <w:r>
      <w:rPr>
        <w:kern w:val="2"/>
        <w:sz w:val="18"/>
        <w:szCs w:val="18"/>
        <w:u w:color="000000"/>
        <w:rtl w:val="0"/>
        <w:lang w:val="en-US"/>
      </w:rPr>
      <w:tab/>
    </w:r>
    <w:r>
      <w:rPr>
        <w:kern w:val="2"/>
        <w:sz w:val="24"/>
        <w:szCs w:val="24"/>
        <w:u w:color="000000"/>
        <w:rtl w:val="0"/>
        <w:lang w:val="en-US"/>
      </w:rPr>
      <w:t xml:space="preserve">Technical </w:t>
    </w:r>
    <w:r>
      <w:rPr>
        <w:kern w:val="2"/>
        <w:sz w:val="24"/>
        <w:szCs w:val="24"/>
        <w:u w:color="000000"/>
        <w:rtl w:val="0"/>
        <w:lang w:val="en-US"/>
      </w:rPr>
      <w:t>Data Sheet</w:t>
    </w:r>
    <w:r>
      <w:rPr>
        <w:kern w:val="2"/>
        <w:sz w:val="24"/>
        <w:szCs w:val="24"/>
        <w:u w:color="000000"/>
        <w:rtl w:val="0"/>
        <w:lang w:val="en-US"/>
      </w:rPr>
      <w:t xml:space="preserve"> V1.0</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de-D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