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40" w:line="240" w:lineRule="auto"/>
        <w:jc w:val="left"/>
      </w:pPr>
      <w:r>
        <w:rPr>
          <w:rFonts w:ascii="Calibri" w:hAnsi="Calibri"/>
          <w:b/>
          <w:color w:val="606A74"/>
          <w:sz w:val="20"/>
        </w:rPr>
        <w:t>YXL New Material</w:t>
      </w:r>
    </w:p>
    <w:p>
      <w:pPr>
        <w:spacing w:before="0" w:after="80" w:line="240" w:lineRule="auto"/>
      </w:pPr>
      <w:r>
        <w:rPr>
          <w:rFonts w:ascii="Calibri" w:hAnsi="Calibri"/>
          <w:b/>
          <w:color w:val="0B2545"/>
          <w:sz w:val="48"/>
        </w:rPr>
        <w:t>Technical Data Sheet</w:t>
      </w:r>
    </w:p>
    <w:p>
      <w:pPr>
        <w:spacing w:before="0" w:after="280" w:line="264" w:lineRule="auto"/>
      </w:pPr>
      <w:r>
        <w:rPr>
          <w:rFonts w:ascii="Calibri" w:hAnsi="Calibri"/>
          <w:color w:val="606A74"/>
          <w:sz w:val="25"/>
        </w:rPr>
        <w:t>Antimony Trichloride | SbCl3 | CAS 10025-91-9</w:t>
      </w:r>
    </w:p>
    <w:tbl>
      <w:tblPr>
        <w:tblW w:type="dxa" w:w="9360"/>
        <w:tblLayout w:type="fixed"/>
        <w:tblLook w:firstColumn="1" w:firstRow="1" w:lastColumn="0" w:lastRow="0" w:noHBand="0" w:noVBand="1" w:val="04A0"/>
        <w:tblInd w:w="120" w:type="dxa"/>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2700"/>
        <w:gridCol w:w="6660"/>
      </w:tblGrid>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Product name</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Antimony Trichloride</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Synonyms</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Antimony(III) chloride; antimonous chloride; butter of antimony</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Molecular formula / weight</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SbCl3 / 228.12 g/mol</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Source basis</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YXL product test report: batch AT20250312; production and test date March 12, 2025</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Specification standard</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HG/T 3464-2014</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Typical HS classification</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2827.39 / 2827.39.90, subject to buyer's destination-country customs ruling</w:t>
            </w:r>
          </w:p>
        </w:tc>
      </w:tr>
    </w:tbl>
    <w:p>
      <w:pPr>
        <w:spacing w:before="360" w:after="200" w:line="264" w:lineRule="auto"/>
      </w:pPr>
      <w:r>
        <w:rPr>
          <w:rFonts w:ascii="Calibri" w:hAnsi="Calibri"/>
          <w:b/>
          <w:color w:val="2E74B5"/>
          <w:sz w:val="32"/>
        </w:rPr>
        <w:t>Product Description</w:t>
      </w:r>
    </w:p>
    <w:p>
      <w:pPr>
        <w:spacing w:before="0" w:after="120" w:line="300" w:lineRule="auto"/>
      </w:pPr>
      <w:r>
        <w:rPr>
          <w:rFonts w:ascii="Calibri" w:hAnsi="Calibri"/>
          <w:color w:val="000000"/>
          <w:sz w:val="21"/>
        </w:rPr>
        <w:t>YXL Antimony Trichloride is a high-purity inorganic antimony chloride supplied for industrial and technical applications requiring controlled SbCl3 assay and low metallic impurities. The material is moisture-sensitive and should be handled under dry conditions.</w:t>
      </w:r>
    </w:p>
    <w:p>
      <w:pPr>
        <w:spacing w:before="360" w:after="200" w:line="264" w:lineRule="auto"/>
      </w:pPr>
      <w:r>
        <w:rPr>
          <w:rFonts w:ascii="Calibri" w:hAnsi="Calibri"/>
          <w:b/>
          <w:color w:val="2E74B5"/>
          <w:sz w:val="32"/>
        </w:rPr>
        <w:t>Technical Specification</w:t>
      </w:r>
    </w:p>
    <w:p>
      <w:pPr>
        <w:spacing w:before="0" w:after="80" w:line="300" w:lineRule="auto"/>
      </w:pPr>
      <w:r>
        <w:rPr>
          <w:rFonts w:ascii="Calibri" w:hAnsi="Calibri"/>
          <w:color w:val="000000"/>
          <w:sz w:val="21"/>
        </w:rPr>
        <w:t>The following specification is transcribed from the YXL product test report shown in the supplied image. Typical result refers to batch AT20250312.</w:t>
      </w:r>
    </w:p>
    <w:tbl>
      <w:tblPr>
        <w:tblW w:type="dxa" w:w="9360"/>
        <w:tblLayout w:type="fixed"/>
        <w:tblLook w:firstColumn="1" w:firstRow="1" w:lastColumn="0" w:lastRow="0" w:noHBand="0" w:noVBand="1" w:val="04A0"/>
        <w:tblInd w:w="120" w:type="dxa"/>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4200"/>
        <w:gridCol w:w="1050"/>
        <w:gridCol w:w="1950"/>
        <w:gridCol w:w="2160"/>
      </w:tblGrid>
      <w:tr>
        <w:tc>
          <w:tcPr>
            <w:tcW w:type="dxa" w:w="4200"/>
            <w:tcMar>
              <w:top w:w="80" w:type="dxa"/>
              <w:bottom w:w="80" w:type="dxa"/>
              <w:start w:w="120" w:type="dxa"/>
              <w:end w:w="120" w:type="dxa"/>
            </w:tcMar>
            <w:vAlign w:val="center"/>
            <w:shd w:fill="E8EEF5"/>
          </w:tcPr>
          <w:p>
            <w:pPr>
              <w:spacing w:before="0" w:after="0" w:line="276" w:lineRule="auto"/>
              <w:jc w:val="center"/>
            </w:pPr>
            <w:r/>
            <w:r>
              <w:rPr>
                <w:rFonts w:ascii="Calibri" w:hAnsi="Calibri"/>
                <w:b/>
                <w:color w:val="0B2545"/>
                <w:sz w:val="19"/>
              </w:rPr>
              <w:t>Test item</w:t>
            </w:r>
          </w:p>
        </w:tc>
        <w:tc>
          <w:tcPr>
            <w:tcW w:type="dxa" w:w="1050"/>
            <w:tcMar>
              <w:top w:w="80" w:type="dxa"/>
              <w:bottom w:w="80" w:type="dxa"/>
              <w:start w:w="120" w:type="dxa"/>
              <w:end w:w="120" w:type="dxa"/>
            </w:tcMar>
            <w:vAlign w:val="center"/>
            <w:shd w:fill="E8EEF5"/>
          </w:tcPr>
          <w:p>
            <w:pPr>
              <w:spacing w:before="0" w:after="0" w:line="276" w:lineRule="auto"/>
              <w:jc w:val="center"/>
            </w:pPr>
            <w:r/>
            <w:r>
              <w:rPr>
                <w:rFonts w:ascii="Calibri" w:hAnsi="Calibri"/>
                <w:b/>
                <w:color w:val="0B2545"/>
                <w:sz w:val="19"/>
              </w:rPr>
              <w:t>Unit</w:t>
            </w:r>
          </w:p>
        </w:tc>
        <w:tc>
          <w:tcPr>
            <w:tcW w:type="dxa" w:w="1950"/>
            <w:tcMar>
              <w:top w:w="80" w:type="dxa"/>
              <w:bottom w:w="80" w:type="dxa"/>
              <w:start w:w="120" w:type="dxa"/>
              <w:end w:w="120" w:type="dxa"/>
            </w:tcMar>
            <w:vAlign w:val="center"/>
            <w:shd w:fill="E8EEF5"/>
          </w:tcPr>
          <w:p>
            <w:pPr>
              <w:spacing w:before="0" w:after="0" w:line="276" w:lineRule="auto"/>
              <w:jc w:val="center"/>
            </w:pPr>
            <w:r/>
            <w:r>
              <w:rPr>
                <w:rFonts w:ascii="Calibri" w:hAnsi="Calibri"/>
                <w:b/>
                <w:color w:val="0B2545"/>
                <w:sz w:val="19"/>
              </w:rPr>
              <w:t>Specification</w:t>
            </w:r>
          </w:p>
        </w:tc>
        <w:tc>
          <w:tcPr>
            <w:tcW w:type="dxa" w:w="2160"/>
            <w:tcMar>
              <w:top w:w="80" w:type="dxa"/>
              <w:bottom w:w="80" w:type="dxa"/>
              <w:start w:w="120" w:type="dxa"/>
              <w:end w:w="120" w:type="dxa"/>
            </w:tcMar>
            <w:vAlign w:val="center"/>
            <w:shd w:fill="E8EEF5"/>
          </w:tcPr>
          <w:p>
            <w:pPr>
              <w:spacing w:before="0" w:after="0" w:line="276" w:lineRule="auto"/>
              <w:jc w:val="center"/>
            </w:pPr>
            <w:r/>
            <w:r>
              <w:rPr>
                <w:rFonts w:ascii="Calibri" w:hAnsi="Calibri"/>
                <w:b/>
                <w:color w:val="0B2545"/>
                <w:sz w:val="19"/>
              </w:rPr>
              <w:t>Typical result</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Antimony trichloride (SbCl3)</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&gt;= 99.9</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99.90</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Antimony (Sb)</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&gt;= 53</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53.01</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Sodium (Na)</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0.02</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0.017</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Potassium (K)</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0.01</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0.0088</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Iron (Fe)</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0.002</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0.0018</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Copper (Cu)</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0.001</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0.001</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Arsenic (As)</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0.005</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0.002</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Lead (Pb)</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0.005</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0.0025</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Hydrochloric acid insoluble matter</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0.005</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0.0025</w:t>
            </w:r>
          </w:p>
        </w:tc>
      </w:tr>
      <w:tr>
        <w:tc>
          <w:tcPr>
            <w:tcW w:type="dxa" w:w="420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8"/>
              </w:rPr>
              <w:t>Sulfate</w:t>
            </w:r>
          </w:p>
        </w:tc>
        <w:tc>
          <w:tcPr>
            <w:tcW w:type="dxa" w:w="10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w:t>
            </w:r>
          </w:p>
        </w:tc>
        <w:tc>
          <w:tcPr>
            <w:tcW w:type="dxa" w:w="195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&lt;= 0.08</w:t>
            </w:r>
          </w:p>
        </w:tc>
        <w:tc>
          <w:tcPr>
            <w:tcW w:type="dxa" w:w="2160"/>
            <w:tcMar>
              <w:top w:w="80" w:type="dxa"/>
              <w:bottom w:w="80" w:type="dxa"/>
              <w:start w:w="120" w:type="dxa"/>
              <w:end w:w="120" w:type="dxa"/>
            </w:tcMar>
            <w:vAlign w:val="center"/>
          </w:tcPr>
          <w:p>
            <w:pPr>
              <w:spacing w:before="0" w:after="0" w:line="276" w:lineRule="auto"/>
              <w:jc w:val="center"/>
            </w:pPr>
            <w:r/>
            <w:r>
              <w:rPr>
                <w:rFonts w:ascii="Calibri" w:hAnsi="Calibri"/>
                <w:b w:val="0"/>
                <w:color w:val="000000"/>
                <w:sz w:val="18"/>
              </w:rPr>
              <w:t>0.07</w:t>
            </w:r>
          </w:p>
        </w:tc>
      </w:tr>
    </w:tbl>
    <w:p>
      <w:pPr>
        <w:spacing w:before="360" w:after="200" w:line="264" w:lineRule="auto"/>
      </w:pPr>
      <w:r>
        <w:rPr>
          <w:rFonts w:ascii="Calibri" w:hAnsi="Calibri"/>
          <w:b/>
          <w:color w:val="2E74B5"/>
          <w:sz w:val="32"/>
        </w:rPr>
        <w:t>Physical and Chemical Information</w:t>
      </w:r>
    </w:p>
    <w:tbl>
      <w:tblPr>
        <w:tblW w:type="dxa" w:w="9360"/>
        <w:tblLayout w:type="fixed"/>
        <w:tblLook w:firstColumn="1" w:firstRow="1" w:lastColumn="0" w:lastRow="0" w:noHBand="0" w:noVBand="1" w:val="04A0"/>
        <w:tblInd w:w="120" w:type="dxa"/>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2700"/>
        <w:gridCol w:w="6660"/>
      </w:tblGrid>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Appearance</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White to colorless crystalline solid; hygroscopic</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Melting point</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Approx. 73.4 deg C</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Boiling point</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Approx. 223 deg C</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Density</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Approx. 3.14 g/cm3</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Water reaction</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Hydrolyzes in the presence of moisture/water; protect from humidity</w:t>
            </w:r>
          </w:p>
        </w:tc>
      </w:tr>
    </w:tbl>
    <w:p>
      <w:pPr>
        <w:spacing w:before="360" w:after="200" w:line="264" w:lineRule="auto"/>
      </w:pPr>
      <w:r>
        <w:rPr>
          <w:rFonts w:ascii="Calibri" w:hAnsi="Calibri"/>
          <w:b/>
          <w:color w:val="2E74B5"/>
          <w:sz w:val="32"/>
        </w:rPr>
        <w:t>Applications</w:t>
      </w:r>
    </w:p>
    <w:tbl>
      <w:tblPr>
        <w:tblW w:type="dxa" w:w="9360"/>
        <w:tblLayout w:type="fixed"/>
        <w:tblLook w:firstColumn="1" w:firstRow="1" w:lastColumn="0" w:lastRow="0" w:noHBand="0" w:noVBand="1" w:val="04A0"/>
        <w:tblInd w:w="120" w:type="dxa"/>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2700"/>
        <w:gridCol w:w="6660"/>
      </w:tblGrid>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Use areas</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Industrial chemical intermediate; antimony source for specialty formulations; catalyst/reagent applications where SbCl3 is specified</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Customer support</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Sample evaluation and formulation discussion are available through YXL technical sales</w:t>
            </w:r>
          </w:p>
        </w:tc>
      </w:tr>
    </w:tbl>
    <w:p>
      <w:pPr>
        <w:spacing w:before="360" w:after="200" w:line="264" w:lineRule="auto"/>
      </w:pPr>
      <w:r>
        <w:rPr>
          <w:rFonts w:ascii="Calibri" w:hAnsi="Calibri"/>
          <w:b/>
          <w:color w:val="2E74B5"/>
          <w:sz w:val="32"/>
        </w:rPr>
        <w:t>Packaging, Storage and Handling</w:t>
      </w:r>
    </w:p>
    <w:tbl>
      <w:tblPr>
        <w:tblW w:type="dxa" w:w="9360"/>
        <w:tblLayout w:type="fixed"/>
        <w:tblLook w:firstColumn="1" w:firstRow="1" w:lastColumn="0" w:lastRow="0" w:noHBand="0" w:noVBand="1" w:val="04A0"/>
        <w:tblInd w:w="120" w:type="dxa"/>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2700"/>
        <w:gridCol w:w="6660"/>
      </w:tblGrid>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Packaging</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Sealed, moisture-protective packaging; UN-approved packaging required where regulated for transport. Final pack size per sales confirmation.</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Storage</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Store tightly closed in a dry, cool, well-ventilated area. Protect from moisture and incompatible materials.</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Handling</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Use appropriate PPE and local exhaust ventilation. Avoid dust, contact with skin/eyes, and exposure to moisture.</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Shelf life</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Confirm by batch COA and storage conditions.</w:t>
            </w:r>
          </w:p>
        </w:tc>
      </w:tr>
    </w:tbl>
    <w:p>
      <w:pPr>
        <w:spacing w:before="360" w:after="200" w:line="264" w:lineRule="auto"/>
      </w:pPr>
      <w:r>
        <w:rPr>
          <w:rFonts w:ascii="Calibri" w:hAnsi="Calibri"/>
          <w:b/>
          <w:color w:val="2E74B5"/>
          <w:sz w:val="32"/>
        </w:rPr>
        <w:t>Transport and Safety Note</w:t>
      </w:r>
    </w:p>
    <w:tbl>
      <w:tblPr>
        <w:tblW w:type="dxa" w:w="9360"/>
        <w:tblLayout w:type="fixed"/>
        <w:tblLook w:firstColumn="1" w:firstRow="1" w:lastColumn="0" w:lastRow="0" w:noHBand="0" w:noVBand="1" w:val="04A0"/>
        <w:tblInd w:w="120" w:type="dxa"/>
        <w:tblBorders>
          <w:top w:val="single" w:sz="4" w:space="0" w:color="B7C3D0"/>
          <w:left w:val="single" w:sz="4" w:space="0" w:color="B7C3D0"/>
          <w:bottom w:val="single" w:sz="4" w:space="0" w:color="B7C3D0"/>
          <w:right w:val="single" w:sz="4" w:space="0" w:color="B7C3D0"/>
          <w:insideH w:val="single" w:sz="4" w:space="0" w:color="B7C3D0"/>
          <w:insideV w:val="single" w:sz="4" w:space="0" w:color="B7C3D0"/>
        </w:tblBorders>
      </w:tblPr>
      <w:tblGrid>
        <w:gridCol w:w="2700"/>
        <w:gridCol w:w="6660"/>
      </w:tblGrid>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UN number</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UN 1733</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Proper shipping name</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Antimony trichloride, solid</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Hazard class / packing group</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Class 8 / Packing Group II</w:t>
            </w:r>
          </w:p>
        </w:tc>
      </w:tr>
      <w:tr>
        <w:tc>
          <w:tcPr>
            <w:tcW w:type="dxa" w:w="2700"/>
            <w:tcMar>
              <w:top w:w="80" w:type="dxa"/>
              <w:bottom w:w="80" w:type="dxa"/>
              <w:start w:w="120" w:type="dxa"/>
              <w:end w:w="120" w:type="dxa"/>
            </w:tcMar>
            <w:vAlign w:val="center"/>
            <w:shd w:fill="F2F4F7"/>
          </w:tcPr>
          <w:p>
            <w:pPr>
              <w:spacing w:before="0" w:after="0" w:line="276" w:lineRule="auto"/>
              <w:jc w:val="left"/>
            </w:pPr>
            <w:r/>
            <w:r>
              <w:rPr>
                <w:rFonts w:ascii="Calibri" w:hAnsi="Calibri"/>
                <w:b/>
                <w:color w:val="0B2545"/>
                <w:sz w:val="19"/>
              </w:rPr>
              <w:t>Safety / disclaimer</w:t>
            </w:r>
          </w:p>
        </w:tc>
        <w:tc>
          <w:tcPr>
            <w:tcW w:type="dxa" w:w="6660"/>
            <w:tcMar>
              <w:top w:w="80" w:type="dxa"/>
              <w:bottom w:w="80" w:type="dxa"/>
              <w:start w:w="120" w:type="dxa"/>
              <w:end w:w="120" w:type="dxa"/>
            </w:tcMar>
            <w:vAlign w:val="center"/>
          </w:tcPr>
          <w:p>
            <w:pPr>
              <w:spacing w:before="0" w:after="0" w:line="276" w:lineRule="auto"/>
              <w:jc w:val="left"/>
            </w:pPr>
            <w:r/>
            <w:r>
              <w:rPr>
                <w:rFonts w:ascii="Calibri" w:hAnsi="Calibri"/>
                <w:b w:val="0"/>
                <w:color w:val="000000"/>
                <w:sz w:val="19"/>
              </w:rPr>
              <w:t>This TDS is not an SDS. Review the current YXL SDS and local regulations before storage, handling, disposal, or transport. The information is provided in good faith for product identification and preliminary technical evaluation, and does not constitute a warranty or substitute for buyer qualification, regulatory review, or application testing.</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Calibri" w:hAnsi="Calibri"/>
        <w:color w:val="606A74"/>
        <w:sz w:val="17"/>
      </w:rPr>
      <w:t>Contact: czworkshop@icloud.com | www.ruisunm.cn | 132 0745 8891 | 188 0747 3588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left"/>
    </w:pPr>
    <w:r>
      <w:rPr>
        <w:rFonts w:ascii="Calibri" w:hAnsi="Calibri"/>
        <w:b/>
        <w:color w:val="0B2545"/>
        <w:sz w:val="19"/>
      </w:rPr>
      <w:t>YXL New Material</w:t>
    </w:r>
    <w:r>
      <w:rPr>
        <w:rFonts w:ascii="Calibri" w:hAnsi="Calibri"/>
        <w:color w:val="606A74"/>
        <w:sz w:val="19"/>
      </w:rPr>
      <w:t xml:space="preserve"> | Technical Data Sheet | Antimony Trichloride (SbCl3)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YXL Antimony Trichloride Technical Data Sheet</dc:title>
  <dc:subject>Technical Data Sheet for Antimony Trichloride</dc:subject>
  <dc:creator>YXL Materials</dc:creator>
  <cp:keywords>YXL, Antimony Trichloride, SbCl3, CAS 10025-91-9, TDS</cp:keywords>
  <dc:description>generated by python-docx</dc:description>
  <cp:lastModifiedBy/>
  <cp:revision>1</cp:revision>
  <dcterms:created xsi:type="dcterms:W3CDTF">2013-12-23T23:15:00Z</dcterms:created>
  <dcterms:modified xsi:type="dcterms:W3CDTF">2013-12-23T23:15:00Z</dcterms:modified>
  <cp:category/>
</cp:coreProperties>
</file>